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sz w:val="28"/>
          <w:szCs w:val="28"/>
        </w:rPr>
      </w:pPr>
      <w:r>
        <w:rPr>
          <w:rFonts w:asciiTheme="minorEastAsia" w:hAnsiTheme="minorEastAsia"/>
          <w:sz w:val="28"/>
          <w:szCs w:val="28"/>
        </w:rPr>
        <w:t>附件</w:t>
      </w:r>
      <w:r>
        <w:rPr>
          <w:rFonts w:hint="eastAsia" w:asciiTheme="minorEastAsia" w:hAnsiTheme="minorEastAsia"/>
          <w:sz w:val="28"/>
          <w:szCs w:val="28"/>
        </w:rPr>
        <w:t>：</w:t>
      </w:r>
    </w:p>
    <w:p>
      <w:pPr>
        <w:jc w:val="center"/>
        <w:rPr>
          <w:rFonts w:asciiTheme="minorEastAsia" w:hAnsiTheme="minorEastAsia"/>
          <w:b/>
          <w:sz w:val="32"/>
          <w:szCs w:val="32"/>
        </w:rPr>
      </w:pPr>
      <w:r>
        <w:rPr>
          <w:rFonts w:hint="eastAsia" w:cs="宋体" w:asciiTheme="minorEastAsia" w:hAnsiTheme="minorEastAsia"/>
          <w:b/>
          <w:kern w:val="0"/>
          <w:sz w:val="32"/>
          <w:szCs w:val="32"/>
        </w:rPr>
        <w:t>2020年度珠江—西江经济带发展研究院研究生创新项目立项一览表</w:t>
      </w:r>
    </w:p>
    <w:tbl>
      <w:tblPr>
        <w:tblStyle w:val="3"/>
        <w:tblW w:w="1403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71"/>
        <w:gridCol w:w="5779"/>
        <w:gridCol w:w="1276"/>
        <w:gridCol w:w="2693"/>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47" w:type="dxa"/>
            <w:shd w:val="clear" w:color="auto" w:fill="auto"/>
            <w:vAlign w:val="center"/>
          </w:tcPr>
          <w:p>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序号</w:t>
            </w:r>
          </w:p>
        </w:tc>
        <w:tc>
          <w:tcPr>
            <w:tcW w:w="1271" w:type="dxa"/>
            <w:shd w:val="clear" w:color="auto" w:fill="auto"/>
            <w:vAlign w:val="center"/>
          </w:tcPr>
          <w:p>
            <w:pPr>
              <w:widowControl/>
              <w:ind w:left="-105" w:leftChars="-50" w:right="-105" w:rightChars="-50"/>
              <w:jc w:val="center"/>
              <w:rPr>
                <w:rFonts w:cs="宋体" w:asciiTheme="minorEastAsia" w:hAnsiTheme="minorEastAsia"/>
                <w:b/>
                <w:bCs/>
                <w:kern w:val="0"/>
                <w:szCs w:val="21"/>
              </w:rPr>
            </w:pPr>
            <w:r>
              <w:rPr>
                <w:rFonts w:hint="eastAsia" w:cs="宋体" w:asciiTheme="minorEastAsia" w:hAnsiTheme="minorEastAsia"/>
                <w:b/>
                <w:bCs/>
                <w:kern w:val="0"/>
                <w:szCs w:val="21"/>
              </w:rPr>
              <w:t>项目编号</w:t>
            </w:r>
          </w:p>
        </w:tc>
        <w:tc>
          <w:tcPr>
            <w:tcW w:w="5779" w:type="dxa"/>
            <w:vAlign w:val="center"/>
          </w:tcPr>
          <w:p>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项目名称</w:t>
            </w:r>
          </w:p>
        </w:tc>
        <w:tc>
          <w:tcPr>
            <w:tcW w:w="1276" w:type="dxa"/>
            <w:shd w:val="clear" w:color="auto" w:fill="auto"/>
            <w:vAlign w:val="center"/>
          </w:tcPr>
          <w:p>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项目负责人</w:t>
            </w:r>
          </w:p>
        </w:tc>
        <w:tc>
          <w:tcPr>
            <w:tcW w:w="2693" w:type="dxa"/>
            <w:shd w:val="clear" w:color="auto" w:fill="auto"/>
            <w:vAlign w:val="center"/>
          </w:tcPr>
          <w:p>
            <w:pPr>
              <w:widowControl/>
              <w:ind w:left="-105" w:leftChars="-50" w:right="-105" w:rightChars="-50"/>
              <w:jc w:val="center"/>
              <w:rPr>
                <w:rFonts w:cs="宋体" w:asciiTheme="minorEastAsia" w:hAnsiTheme="minorEastAsia"/>
                <w:b/>
                <w:bCs/>
                <w:kern w:val="0"/>
                <w:szCs w:val="21"/>
              </w:rPr>
            </w:pPr>
            <w:r>
              <w:rPr>
                <w:rFonts w:hint="eastAsia" w:cs="宋体" w:asciiTheme="minorEastAsia" w:hAnsiTheme="minorEastAsia"/>
                <w:b/>
                <w:bCs/>
                <w:kern w:val="0"/>
                <w:szCs w:val="21"/>
              </w:rPr>
              <w:t>所在单位</w:t>
            </w:r>
          </w:p>
        </w:tc>
        <w:tc>
          <w:tcPr>
            <w:tcW w:w="1134" w:type="dxa"/>
            <w:shd w:val="clear" w:color="auto" w:fill="auto"/>
            <w:vAlign w:val="center"/>
          </w:tcPr>
          <w:p>
            <w:pPr>
              <w:widowControl/>
              <w:ind w:left="-105" w:leftChars="-50" w:right="-105" w:rightChars="-50"/>
              <w:jc w:val="center"/>
              <w:rPr>
                <w:rFonts w:cs="宋体" w:asciiTheme="minorEastAsia" w:hAnsiTheme="minorEastAsia"/>
                <w:b/>
                <w:bCs/>
                <w:kern w:val="0"/>
                <w:szCs w:val="21"/>
              </w:rPr>
            </w:pPr>
            <w:r>
              <w:rPr>
                <w:rFonts w:hint="eastAsia" w:cs="宋体" w:asciiTheme="minorEastAsia" w:hAnsiTheme="minorEastAsia"/>
                <w:b/>
                <w:bCs/>
                <w:kern w:val="0"/>
                <w:szCs w:val="21"/>
              </w:rPr>
              <w:t>项目类型</w:t>
            </w:r>
          </w:p>
        </w:tc>
        <w:tc>
          <w:tcPr>
            <w:tcW w:w="1134" w:type="dxa"/>
            <w:vAlign w:val="center"/>
          </w:tcPr>
          <w:p>
            <w:pPr>
              <w:widowControl/>
              <w:ind w:left="-105" w:leftChars="-50" w:right="-105" w:rightChars="-50"/>
              <w:jc w:val="center"/>
              <w:rPr>
                <w:rFonts w:cs="宋体" w:asciiTheme="minorEastAsia" w:hAnsiTheme="minorEastAsia"/>
                <w:b/>
                <w:bCs/>
                <w:kern w:val="0"/>
                <w:szCs w:val="21"/>
              </w:rPr>
            </w:pPr>
            <w:r>
              <w:rPr>
                <w:rFonts w:hint="eastAsia" w:cs="宋体" w:asciiTheme="minorEastAsia" w:hAnsiTheme="minorEastAsia"/>
                <w:b/>
                <w:bCs/>
                <w:kern w:val="0"/>
                <w:szCs w:val="21"/>
              </w:rPr>
              <w:t>项目经费</w:t>
            </w:r>
          </w:p>
          <w:p>
            <w:pPr>
              <w:widowControl/>
              <w:ind w:left="-105" w:leftChars="-50" w:right="-105" w:rightChars="-50"/>
              <w:jc w:val="center"/>
              <w:rPr>
                <w:rFonts w:cs="宋体" w:asciiTheme="minorEastAsia" w:hAnsiTheme="minorEastAsia"/>
                <w:b/>
                <w:bCs/>
                <w:kern w:val="0"/>
                <w:szCs w:val="21"/>
              </w:rPr>
            </w:pPr>
            <w:r>
              <w:rPr>
                <w:rFonts w:hint="eastAsia" w:cs="宋体" w:asciiTheme="minorEastAsia" w:hAnsiTheme="minorEastAsia"/>
                <w:b/>
                <w:bCs/>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1</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ZX2020021</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珠江—西江经济带幼儿亲环境行为的培养研究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顾高燕</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博士生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2</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ZX2020022</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珠江—西江经济带民族团结教育研究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pacing w:val="107"/>
                <w:kern w:val="0"/>
                <w:szCs w:val="21"/>
                <w:fitText w:val="633" w:id="0"/>
              </w:rPr>
              <w:t>李</w:t>
            </w:r>
            <w:r>
              <w:rPr>
                <w:rFonts w:hint="eastAsia" w:asciiTheme="minorEastAsia" w:hAnsiTheme="minorEastAsia"/>
                <w:kern w:val="0"/>
                <w:szCs w:val="21"/>
                <w:fitText w:val="633" w:id="0"/>
              </w:rPr>
              <w:t>路</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博士生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3</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ZX2020023</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 xml:space="preserve">珠江—西江经济带体育旅游产业高质量发展研究 </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刘亚军</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体育学院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博士生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4</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ZX2020024</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 xml:space="preserve">珠江—西江经济带建设背景下广西“体-医-旅”特色康养基地开发研究 </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高品操</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体育学院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博士生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5</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ZX2020025</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“一带一路”倡议背景下珠江—西江流域的边境文化接受与传播机制研究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 xml:space="preserve">廖  燕 </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文学院/新闻与传播学院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6</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ZX2020026</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 xml:space="preserve">表达交流与文化自信——语文学科教育促进西江流域民族和谐的实践研究 </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许彰育</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文学院/新闻与传播学院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7</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ZX2020027</w:t>
            </w:r>
          </w:p>
        </w:tc>
        <w:tc>
          <w:tcPr>
            <w:tcW w:w="5779" w:type="dxa"/>
            <w:vAlign w:val="center"/>
          </w:tcPr>
          <w:p>
            <w:pPr>
              <w:jc w:val="left"/>
              <w:rPr>
                <w:rFonts w:asciiTheme="minorEastAsia" w:hAnsiTheme="minorEastAsia"/>
                <w:szCs w:val="21"/>
              </w:rPr>
            </w:pPr>
            <w:r>
              <w:rPr>
                <w:rFonts w:hint="eastAsia" w:asciiTheme="minorEastAsia" w:hAnsiTheme="minorEastAsia"/>
                <w:szCs w:val="21"/>
              </w:rPr>
              <w:t>珠江—西江经济带建设背景下民俗文化产业化研究</w:t>
            </w:r>
          </w:p>
          <w:p>
            <w:pPr>
              <w:jc w:val="left"/>
              <w:rPr>
                <w:rFonts w:cs="宋体" w:asciiTheme="minorEastAsia" w:hAnsiTheme="minorEastAsia"/>
                <w:szCs w:val="21"/>
              </w:rPr>
            </w:pPr>
            <w:r>
              <w:rPr>
                <w:rFonts w:hint="eastAsia" w:asciiTheme="minorEastAsia" w:hAnsiTheme="minorEastAsia"/>
                <w:szCs w:val="21"/>
              </w:rPr>
              <w:t>——以融水苗族系列坡会群为例</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林佳锋</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文学院/新闻与传播学院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8</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ZX2020028</w:t>
            </w:r>
          </w:p>
        </w:tc>
        <w:tc>
          <w:tcPr>
            <w:tcW w:w="5779" w:type="dxa"/>
            <w:vAlign w:val="center"/>
          </w:tcPr>
          <w:p>
            <w:pPr>
              <w:jc w:val="left"/>
              <w:rPr>
                <w:rFonts w:asciiTheme="minorEastAsia" w:hAnsiTheme="minorEastAsia"/>
                <w:szCs w:val="21"/>
              </w:rPr>
            </w:pPr>
            <w:r>
              <w:rPr>
                <w:rFonts w:hint="eastAsia" w:asciiTheme="minorEastAsia" w:hAnsiTheme="minorEastAsia"/>
                <w:szCs w:val="21"/>
              </w:rPr>
              <w:t>珠江—西江经济带地区古代学术编年系地信息平台</w:t>
            </w:r>
          </w:p>
          <w:p>
            <w:pPr>
              <w:jc w:val="left"/>
              <w:rPr>
                <w:rFonts w:asciiTheme="minorEastAsia" w:hAnsiTheme="minorEastAsia"/>
                <w:szCs w:val="21"/>
              </w:rPr>
            </w:pPr>
            <w:r>
              <w:rPr>
                <w:rFonts w:hint="eastAsia" w:asciiTheme="minorEastAsia" w:hAnsiTheme="minorEastAsia"/>
                <w:szCs w:val="21"/>
              </w:rPr>
              <w:t>——以启动广西梧州地区为例</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胡钰乔</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文学院/新闻与传播学院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9</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ZX2020029</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 xml:space="preserve">从宋代对外贸易看珠江—西江流域的融合与共生       </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石湘玉</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历史文化与旅游学院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10</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ZX2020030</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珠江—西江经济带加快推进与粤港澳大湾区融合发展研究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蒋晓澜</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马克思主义学院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11</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ZX2020031</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心理学视域下脱贫攻坚时期珠江—西江经济带扶贫困境对策研究——以桂江流域贫困户为例</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李灏轩</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马克思主义学院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序号</w:t>
            </w:r>
          </w:p>
        </w:tc>
        <w:tc>
          <w:tcPr>
            <w:tcW w:w="1271"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项目编号</w:t>
            </w:r>
          </w:p>
        </w:tc>
        <w:tc>
          <w:tcPr>
            <w:tcW w:w="5779" w:type="dxa"/>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项目名称</w:t>
            </w:r>
          </w:p>
        </w:tc>
        <w:tc>
          <w:tcPr>
            <w:tcW w:w="1276"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项目负责人</w:t>
            </w:r>
          </w:p>
        </w:tc>
        <w:tc>
          <w:tcPr>
            <w:tcW w:w="2693"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所在单位</w:t>
            </w:r>
          </w:p>
        </w:tc>
        <w:tc>
          <w:tcPr>
            <w:tcW w:w="1134"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项目类型</w:t>
            </w:r>
          </w:p>
        </w:tc>
        <w:tc>
          <w:tcPr>
            <w:tcW w:w="1134" w:type="dxa"/>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项目经费</w:t>
            </w:r>
          </w:p>
          <w:p>
            <w:pPr>
              <w:jc w:val="center"/>
              <w:rPr>
                <w:rFonts w:cs="宋体" w:asciiTheme="minorEastAsia" w:hAnsiTheme="minorEastAsia"/>
                <w:b/>
                <w:bCs/>
                <w:kern w:val="0"/>
                <w:szCs w:val="21"/>
              </w:rPr>
            </w:pPr>
            <w:r>
              <w:rPr>
                <w:rFonts w:hint="eastAsia" w:cs="宋体" w:asciiTheme="minorEastAsia" w:hAnsiTheme="minorEastAsia"/>
                <w:b/>
                <w:bCs/>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12</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ZX2020032</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珠江—西江经济带石漠化片区生态水利精准扶贫研究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韩俊喆</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马克思主义学院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13</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ZX2020033</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“一带一路”倡议背景下珠江—西江经济带的国际税收合作问题研究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林思妍</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法学院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14</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ZX2020034</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 xml:space="preserve">广西金秀瑶族环境习惯法在珠江—西江经济带生态文明法治建设中的地位和作用研究 </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陆小倩</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法学院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15</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ZX2020035</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 xml:space="preserve">珠江—西江经济带发展背景下的行政协议纠纷类型与案件结构研究 </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佐富坤</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法学院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16</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ZX2020036</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跨界流域水境协同治理法律机制研究——以西江流域为例</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pacing w:val="107"/>
                <w:kern w:val="0"/>
                <w:szCs w:val="21"/>
                <w:fitText w:val="633" w:id="1"/>
              </w:rPr>
              <w:t>刘</w:t>
            </w:r>
            <w:r>
              <w:rPr>
                <w:rFonts w:hint="eastAsia" w:asciiTheme="minorEastAsia" w:hAnsiTheme="minorEastAsia"/>
                <w:kern w:val="0"/>
                <w:szCs w:val="21"/>
                <w:fitText w:val="633" w:id="1"/>
              </w:rPr>
              <w:t>娉</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法学院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17</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ZX2020037</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SWOT-PEST模型视角下珠江—西江流域多民族社会治理研究——以广西黔江流域为例</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刘雨瑶</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政治与公共管理学院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18</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ZX2020038</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珠江—西江经济带区域协同发展与21世纪海上丝绸之路战略衔接研究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阳春妃</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政治与公共管理学院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19</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ZX2020039</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找回祠堂：珠江—西江流域农村社会传统治理资源再激活研究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pacing w:val="107"/>
                <w:kern w:val="0"/>
                <w:szCs w:val="21"/>
                <w:fitText w:val="633" w:id="2"/>
              </w:rPr>
              <w:t>吴</w:t>
            </w:r>
            <w:r>
              <w:rPr>
                <w:rFonts w:hint="eastAsia" w:asciiTheme="minorEastAsia" w:hAnsiTheme="minorEastAsia"/>
                <w:kern w:val="0"/>
                <w:szCs w:val="21"/>
                <w:fitText w:val="633" w:id="2"/>
              </w:rPr>
              <w:t>彤</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政治与公共管理学院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20</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ZX2020040</w:t>
            </w:r>
          </w:p>
        </w:tc>
        <w:tc>
          <w:tcPr>
            <w:tcW w:w="5779" w:type="dxa"/>
            <w:vAlign w:val="center"/>
          </w:tcPr>
          <w:p>
            <w:pPr>
              <w:jc w:val="left"/>
              <w:rPr>
                <w:rFonts w:asciiTheme="minorEastAsia" w:hAnsiTheme="minorEastAsia"/>
                <w:szCs w:val="21"/>
              </w:rPr>
            </w:pPr>
            <w:r>
              <w:rPr>
                <w:rFonts w:hint="eastAsia" w:asciiTheme="minorEastAsia" w:hAnsiTheme="minorEastAsia"/>
                <w:szCs w:val="21"/>
              </w:rPr>
              <w:t>珠江—西江经济带地区老年教育政策运行机制研究</w:t>
            </w:r>
          </w:p>
          <w:p>
            <w:pPr>
              <w:jc w:val="left"/>
              <w:rPr>
                <w:rFonts w:asciiTheme="minorEastAsia" w:hAnsiTheme="minorEastAsia"/>
                <w:szCs w:val="21"/>
              </w:rPr>
            </w:pPr>
            <w:r>
              <w:rPr>
                <w:rFonts w:hint="eastAsia" w:asciiTheme="minorEastAsia" w:hAnsiTheme="minorEastAsia"/>
                <w:szCs w:val="21"/>
              </w:rPr>
              <w:t>——以“两核”城市为例</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pacing w:val="107"/>
                <w:kern w:val="0"/>
                <w:szCs w:val="21"/>
                <w:fitText w:val="633" w:id="3"/>
              </w:rPr>
              <w:t>毛</w:t>
            </w:r>
            <w:r>
              <w:rPr>
                <w:rFonts w:hint="eastAsia" w:asciiTheme="minorEastAsia" w:hAnsiTheme="minorEastAsia"/>
                <w:kern w:val="0"/>
                <w:szCs w:val="21"/>
                <w:fitText w:val="633" w:id="3"/>
              </w:rPr>
              <w:t>果</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政治与公共管理学院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21</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ZX2020041</w:t>
            </w:r>
          </w:p>
        </w:tc>
        <w:tc>
          <w:tcPr>
            <w:tcW w:w="5779" w:type="dxa"/>
            <w:vAlign w:val="center"/>
          </w:tcPr>
          <w:p>
            <w:pPr>
              <w:jc w:val="left"/>
              <w:rPr>
                <w:rFonts w:asciiTheme="minorEastAsia" w:hAnsiTheme="minorEastAsia"/>
                <w:szCs w:val="21"/>
              </w:rPr>
            </w:pPr>
            <w:r>
              <w:rPr>
                <w:rFonts w:hint="eastAsia" w:asciiTheme="minorEastAsia" w:hAnsiTheme="minorEastAsia"/>
                <w:szCs w:val="21"/>
              </w:rPr>
              <w:t>新时代珠江—西江经济带乡村治理区域协作研究</w:t>
            </w:r>
          </w:p>
          <w:p>
            <w:pPr>
              <w:jc w:val="left"/>
              <w:rPr>
                <w:rFonts w:cs="宋体" w:asciiTheme="minorEastAsia" w:hAnsiTheme="minorEastAsia"/>
                <w:szCs w:val="21"/>
              </w:rPr>
            </w:pPr>
            <w:r>
              <w:rPr>
                <w:rFonts w:hint="eastAsia" w:asciiTheme="minorEastAsia" w:hAnsiTheme="minorEastAsia"/>
                <w:szCs w:val="21"/>
              </w:rPr>
              <w:t>——基于“三治融合”视角</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于恩洋</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政治与公共管理学院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22</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ZX2020042</w:t>
            </w:r>
          </w:p>
        </w:tc>
        <w:tc>
          <w:tcPr>
            <w:tcW w:w="5779" w:type="dxa"/>
            <w:vAlign w:val="center"/>
          </w:tcPr>
          <w:p>
            <w:pPr>
              <w:jc w:val="left"/>
              <w:rPr>
                <w:rFonts w:asciiTheme="minorEastAsia" w:hAnsiTheme="minorEastAsia"/>
                <w:szCs w:val="21"/>
              </w:rPr>
            </w:pPr>
            <w:r>
              <w:rPr>
                <w:rFonts w:hint="eastAsia" w:asciiTheme="minorEastAsia" w:hAnsiTheme="minorEastAsia"/>
                <w:szCs w:val="21"/>
              </w:rPr>
              <w:t>珠江—西江经济带产业转移中的地方政府职能研究</w:t>
            </w:r>
          </w:p>
          <w:p>
            <w:pPr>
              <w:jc w:val="left"/>
              <w:rPr>
                <w:rFonts w:cs="宋体" w:asciiTheme="minorEastAsia" w:hAnsiTheme="minorEastAsia"/>
                <w:szCs w:val="21"/>
              </w:rPr>
            </w:pPr>
            <w:r>
              <w:rPr>
                <w:rFonts w:hint="eastAsia" w:asciiTheme="minorEastAsia" w:hAnsiTheme="minorEastAsia"/>
                <w:szCs w:val="21"/>
              </w:rPr>
              <w:t>——以南宁市为例</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邓籴翀</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政治与公共管理学院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23</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ZX2020043</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珠江—西江经济带环境规制对绿色全要素生产率的影响研究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朱本慧</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24</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ZX2020044</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珠江—西江经济带现代农业产业园发展研究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武  月</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序号</w:t>
            </w:r>
          </w:p>
        </w:tc>
        <w:tc>
          <w:tcPr>
            <w:tcW w:w="1271"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项目编号</w:t>
            </w:r>
          </w:p>
        </w:tc>
        <w:tc>
          <w:tcPr>
            <w:tcW w:w="5779" w:type="dxa"/>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项目名称</w:t>
            </w:r>
          </w:p>
        </w:tc>
        <w:tc>
          <w:tcPr>
            <w:tcW w:w="1276"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项目负责人</w:t>
            </w:r>
          </w:p>
        </w:tc>
        <w:tc>
          <w:tcPr>
            <w:tcW w:w="2693"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所在单位</w:t>
            </w:r>
          </w:p>
        </w:tc>
        <w:tc>
          <w:tcPr>
            <w:tcW w:w="1134"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项目类型</w:t>
            </w:r>
          </w:p>
        </w:tc>
        <w:tc>
          <w:tcPr>
            <w:tcW w:w="1134" w:type="dxa"/>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项目经费</w:t>
            </w:r>
          </w:p>
          <w:p>
            <w:pPr>
              <w:jc w:val="center"/>
              <w:rPr>
                <w:rFonts w:cs="宋体" w:asciiTheme="minorEastAsia" w:hAnsiTheme="minorEastAsia"/>
                <w:b/>
                <w:bCs/>
                <w:kern w:val="0"/>
                <w:szCs w:val="21"/>
              </w:rPr>
            </w:pPr>
            <w:r>
              <w:rPr>
                <w:rFonts w:hint="eastAsia" w:cs="宋体" w:asciiTheme="minorEastAsia" w:hAnsiTheme="minorEastAsia"/>
                <w:b/>
                <w:bCs/>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25</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ZX2020045</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珠江—西江经济带资源环境承载力测算及其时空分异特征研究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张  宇</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26</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ZX2020046</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FDI结构优化促进珠江—西江经济带高质量发展的路径与策略研究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刘茂华</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27</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ZX2020047</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珠江—西江经济带城校融合发展水平评价及影响因素分析</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孔胜雪</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28</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ZX2020048</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珠江—西江经济带文化产业创新效率测度及其空间溢出效应研究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江  畅</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29</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ZX2020049</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珠江—西江经济带经济空间结构演变与重塑：新旧基建的功能差异与联合作用</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冉旭宏</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30</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ZX2020050</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珠江—西江经济带旅游经济联系及社会网络结构演化研究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祁玉婷</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31</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ZX2020051</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珠江—西江经济带乡村旅游扶贫机制及其效应研究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牛月月</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32</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ZX2020052</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珠江—西江经济带智慧农业发展研究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朱嘉琪</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33</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ZX2020053</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珠江—西江经济带农业生产性服务的农民收入效应研究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罗  琳</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34</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ZX2020054</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珠江—西江经济带生态补偿效率的时空演变规律及影响因素研究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赵泳春</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35</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ZX2020055</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珠江—西江经济带战略性新兴产业与区域技术创新耦合发展研究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黄  骁</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36</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ZX2020056</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 xml:space="preserve">珠江—西江经济带数字普惠金融与乡村产业振兴协同发展路径研究 </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郭婉丽</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37</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ZX2020057</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珠江—西江经济带金融生态环境发展趋同与分化研究 </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黄舒怡</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序号</w:t>
            </w:r>
          </w:p>
        </w:tc>
        <w:tc>
          <w:tcPr>
            <w:tcW w:w="1271"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项目编号</w:t>
            </w:r>
          </w:p>
        </w:tc>
        <w:tc>
          <w:tcPr>
            <w:tcW w:w="5779" w:type="dxa"/>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项目名称</w:t>
            </w:r>
          </w:p>
        </w:tc>
        <w:tc>
          <w:tcPr>
            <w:tcW w:w="1276"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项目负责人</w:t>
            </w:r>
          </w:p>
        </w:tc>
        <w:tc>
          <w:tcPr>
            <w:tcW w:w="2693"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所在单位</w:t>
            </w:r>
          </w:p>
        </w:tc>
        <w:tc>
          <w:tcPr>
            <w:tcW w:w="1134"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项目类型</w:t>
            </w:r>
          </w:p>
        </w:tc>
        <w:tc>
          <w:tcPr>
            <w:tcW w:w="1134" w:type="dxa"/>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项目经费</w:t>
            </w:r>
          </w:p>
          <w:p>
            <w:pPr>
              <w:jc w:val="center"/>
              <w:rPr>
                <w:rFonts w:cs="宋体" w:asciiTheme="minorEastAsia" w:hAnsiTheme="minorEastAsia"/>
                <w:b/>
                <w:bCs/>
                <w:kern w:val="0"/>
                <w:szCs w:val="21"/>
              </w:rPr>
            </w:pPr>
            <w:r>
              <w:rPr>
                <w:rFonts w:hint="eastAsia" w:cs="宋体" w:asciiTheme="minorEastAsia" w:hAnsiTheme="minorEastAsia"/>
                <w:b/>
                <w:bCs/>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38</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ZX2020058</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珠江—西江经济带财政支农支出对农村居民消费的影响研究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张亚萍</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39</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ZX2020059</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珠江—西江经济带沿线城市农文旅体商融合发展的多案例研究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朱琳琳</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40</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ZX2020060</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珠江—西江经济带农村产业融合发展水平测度及影响因素研究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朱闪闪</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41</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ZX2020061</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珠江—西江经济带生态旅游者行为研究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张  钰</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42</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ZX2020062</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珠江—西江经济带数字普惠金融的减贫效应：门槛、空间溢出及传导机制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董  晶</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43</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ZX2020063</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珠江—西江经济带金融发展、FDI与出口竞争力提升策略研究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唐  欣</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44</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ZX2020064</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科技金融与区域经济发展的耦合关系研究——助力珠江—西江经济带高质量融入粤港澳大湾区</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张  铄</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经济管理学院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45</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ZX2020065</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珠江—西江经济带背景下广西高校美育课程现状及发展研究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罗惠君</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46</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ZX2020066</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珠江—西江流域少数民族儿童价值观现状及教育对策研究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苏天一</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47</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ZX2020067</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基于珠江—西江经济带建设的广西农村职业教育发展问题研究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黄丽丽</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48</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ZX2020068</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珠江—西江经济带推进职业教育“1+X证书制度”的可行性研究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邓文容</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49</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ZX2020069</w:t>
            </w:r>
          </w:p>
        </w:tc>
        <w:tc>
          <w:tcPr>
            <w:tcW w:w="5779" w:type="dxa"/>
            <w:vAlign w:val="bottom"/>
          </w:tcPr>
          <w:p>
            <w:pPr>
              <w:jc w:val="left"/>
              <w:rPr>
                <w:rFonts w:cs="宋体" w:asciiTheme="minorEastAsia" w:hAnsiTheme="minorEastAsia"/>
                <w:szCs w:val="21"/>
              </w:rPr>
            </w:pPr>
            <w:r>
              <w:rPr>
                <w:rFonts w:hint="eastAsia" w:asciiTheme="minorEastAsia" w:hAnsiTheme="minorEastAsia"/>
                <w:szCs w:val="21"/>
              </w:rPr>
              <w:t>边界效应视角下珠江—西江经济带跨境婚姻文化认同机制研究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陈光钰</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50</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ZX2020070</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以瑶族文化校本课程构建促进珠江—西江经济带文化模式研究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卜依莲</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序号</w:t>
            </w:r>
          </w:p>
        </w:tc>
        <w:tc>
          <w:tcPr>
            <w:tcW w:w="1271"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项目编号</w:t>
            </w:r>
          </w:p>
        </w:tc>
        <w:tc>
          <w:tcPr>
            <w:tcW w:w="5779" w:type="dxa"/>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项目名称</w:t>
            </w:r>
          </w:p>
        </w:tc>
        <w:tc>
          <w:tcPr>
            <w:tcW w:w="1276"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项目负责人</w:t>
            </w:r>
          </w:p>
        </w:tc>
        <w:tc>
          <w:tcPr>
            <w:tcW w:w="2693"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所在单位</w:t>
            </w:r>
          </w:p>
        </w:tc>
        <w:tc>
          <w:tcPr>
            <w:tcW w:w="1134"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项目类型</w:t>
            </w:r>
          </w:p>
        </w:tc>
        <w:tc>
          <w:tcPr>
            <w:tcW w:w="1134" w:type="dxa"/>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项目经费</w:t>
            </w:r>
          </w:p>
          <w:p>
            <w:pPr>
              <w:jc w:val="center"/>
              <w:rPr>
                <w:rFonts w:cs="宋体" w:asciiTheme="minorEastAsia" w:hAnsiTheme="minorEastAsia"/>
                <w:b/>
                <w:bCs/>
                <w:kern w:val="0"/>
                <w:szCs w:val="21"/>
              </w:rPr>
            </w:pPr>
            <w:r>
              <w:rPr>
                <w:rFonts w:hint="eastAsia" w:cs="宋体" w:asciiTheme="minorEastAsia" w:hAnsiTheme="minorEastAsia"/>
                <w:b/>
                <w:bCs/>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51</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ZX2020071</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乡村振兴战略背景下珠江—西江经济带乡村教师发展的契机、困境与路径</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pacing w:val="107"/>
                <w:kern w:val="0"/>
                <w:szCs w:val="21"/>
                <w:fitText w:val="633" w:id="4"/>
              </w:rPr>
              <w:t>鲁</w:t>
            </w:r>
            <w:r>
              <w:rPr>
                <w:rFonts w:hint="eastAsia" w:asciiTheme="minorEastAsia" w:hAnsiTheme="minorEastAsia"/>
                <w:kern w:val="0"/>
                <w:szCs w:val="21"/>
                <w:fitText w:val="633" w:id="4"/>
              </w:rPr>
              <w:t>盛</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52</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ZX2020072</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珠江—西江经济带教育信息化跨省帮扶协作机制建设研究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岳修震</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53</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ZX2020073</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乡村振兴战略背景下珠江—西江经济带乡村教师职业吸引力提升的策略研究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雷紫珺</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54</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ZX2020074</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 xml:space="preserve">珠江—西江经济带职业教育发展与新型城镇化建设的协同推进研究 </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候中林</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55</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ZX2020075</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珠江—西江经济带产业结构调整战略下广西中等职业教育的适应性研究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周映彤</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56</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ZX2020076</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西江经济带过度城镇化背景下民族地区基础教育师资均衡配置的路径研究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熊峰霈</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教育学部</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57</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ZX2020077</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西江琴韵——广西民族钢琴作品音乐风格研究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邓紫斓</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音乐学院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58</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ZX2020078</w:t>
            </w:r>
          </w:p>
        </w:tc>
        <w:tc>
          <w:tcPr>
            <w:tcW w:w="5779" w:type="dxa"/>
            <w:vAlign w:val="center"/>
          </w:tcPr>
          <w:p>
            <w:pPr>
              <w:jc w:val="left"/>
              <w:rPr>
                <w:rFonts w:asciiTheme="minorEastAsia" w:hAnsiTheme="minorEastAsia"/>
                <w:szCs w:val="21"/>
              </w:rPr>
            </w:pPr>
            <w:r>
              <w:rPr>
                <w:rFonts w:hint="eastAsia" w:asciiTheme="minorEastAsia" w:hAnsiTheme="minorEastAsia"/>
                <w:szCs w:val="21"/>
              </w:rPr>
              <w:t>珠江—西江经济带可持续发展及其空间特征研究</w:t>
            </w:r>
          </w:p>
          <w:p>
            <w:pPr>
              <w:jc w:val="left"/>
              <w:rPr>
                <w:rFonts w:cs="宋体" w:asciiTheme="minorEastAsia" w:hAnsiTheme="minorEastAsia"/>
                <w:szCs w:val="21"/>
              </w:rPr>
            </w:pPr>
            <w:r>
              <w:rPr>
                <w:rFonts w:hint="eastAsia" w:asciiTheme="minorEastAsia" w:hAnsiTheme="minorEastAsia"/>
                <w:szCs w:val="21"/>
              </w:rPr>
              <w:t>——以桂林市为例</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pacing w:val="107"/>
                <w:kern w:val="0"/>
                <w:szCs w:val="21"/>
                <w:fitText w:val="633" w:id="5"/>
              </w:rPr>
              <w:t>李</w:t>
            </w:r>
            <w:r>
              <w:rPr>
                <w:rFonts w:hint="eastAsia" w:asciiTheme="minorEastAsia" w:hAnsiTheme="minorEastAsia"/>
                <w:kern w:val="0"/>
                <w:szCs w:val="21"/>
                <w:fitText w:val="633" w:id="5"/>
              </w:rPr>
              <w:t>倩</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生命科学学院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59</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ZX2020079</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人本主义视域下珠江—西江经济带特奥运动发展路径研究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李岑洁</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体育学院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60</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ZX2020080</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珠江—西江经济带品牌体育赛事创建研究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pacing w:val="107"/>
                <w:kern w:val="0"/>
                <w:szCs w:val="21"/>
                <w:fitText w:val="633" w:id="6"/>
              </w:rPr>
              <w:t>杜</w:t>
            </w:r>
            <w:r>
              <w:rPr>
                <w:rFonts w:hint="eastAsia" w:asciiTheme="minorEastAsia" w:hAnsiTheme="minorEastAsia"/>
                <w:kern w:val="0"/>
                <w:szCs w:val="21"/>
                <w:fitText w:val="633" w:id="6"/>
              </w:rPr>
              <w:t>东</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体育学院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61</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ZX2020081</w:t>
            </w:r>
          </w:p>
        </w:tc>
        <w:tc>
          <w:tcPr>
            <w:tcW w:w="5779" w:type="dxa"/>
            <w:vAlign w:val="center"/>
          </w:tcPr>
          <w:p>
            <w:pPr>
              <w:jc w:val="left"/>
              <w:rPr>
                <w:rFonts w:asciiTheme="minorEastAsia" w:hAnsiTheme="minorEastAsia"/>
                <w:szCs w:val="21"/>
              </w:rPr>
            </w:pPr>
            <w:r>
              <w:rPr>
                <w:rFonts w:hint="eastAsia" w:asciiTheme="minorEastAsia" w:hAnsiTheme="minorEastAsia"/>
                <w:szCs w:val="21"/>
              </w:rPr>
              <w:t>珠江—西江经济带背景下广西大健康旅游产品营销研究</w:t>
            </w:r>
          </w:p>
          <w:p>
            <w:pPr>
              <w:jc w:val="left"/>
              <w:rPr>
                <w:rFonts w:cs="宋体" w:asciiTheme="minorEastAsia" w:hAnsiTheme="minorEastAsia"/>
                <w:szCs w:val="21"/>
              </w:rPr>
            </w:pPr>
            <w:r>
              <w:rPr>
                <w:rFonts w:hint="eastAsia" w:asciiTheme="minorEastAsia" w:hAnsiTheme="minorEastAsia"/>
                <w:szCs w:val="21"/>
              </w:rPr>
              <w:t>——以粤港澳大湾区市场为例</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赵聪琼</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职业技术师范学院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62</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ZX2020082</w:t>
            </w:r>
          </w:p>
        </w:tc>
        <w:tc>
          <w:tcPr>
            <w:tcW w:w="5779" w:type="dxa"/>
            <w:vAlign w:val="center"/>
          </w:tcPr>
          <w:p>
            <w:pPr>
              <w:jc w:val="left"/>
              <w:rPr>
                <w:rFonts w:asciiTheme="minorEastAsia" w:hAnsiTheme="minorEastAsia"/>
                <w:szCs w:val="21"/>
              </w:rPr>
            </w:pPr>
            <w:r>
              <w:rPr>
                <w:rFonts w:hint="eastAsia" w:asciiTheme="minorEastAsia" w:hAnsiTheme="minorEastAsia"/>
                <w:szCs w:val="21"/>
              </w:rPr>
              <w:t>文旅融合视域下珠江—西江经济带节事旅游品牌优化研究</w:t>
            </w:r>
          </w:p>
          <w:p>
            <w:pPr>
              <w:jc w:val="left"/>
              <w:rPr>
                <w:rFonts w:cs="宋体" w:asciiTheme="minorEastAsia" w:hAnsiTheme="minorEastAsia"/>
                <w:szCs w:val="21"/>
              </w:rPr>
            </w:pPr>
            <w:r>
              <w:rPr>
                <w:rFonts w:hint="eastAsia" w:asciiTheme="minorEastAsia" w:hAnsiTheme="minorEastAsia"/>
                <w:szCs w:val="21"/>
              </w:rPr>
              <w:t xml:space="preserve">——以来宾瑶族“盘王节”为例 </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向洪莹</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职业技术师范学院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63</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ZX2020083</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消费者体验视角下珠江—西江经济带民宿多维度场景营销策略探究——以桂林市阳朔地区为例</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徐倩文</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职业技术师范学院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序号</w:t>
            </w:r>
          </w:p>
        </w:tc>
        <w:tc>
          <w:tcPr>
            <w:tcW w:w="1271"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项目编号</w:t>
            </w:r>
          </w:p>
        </w:tc>
        <w:tc>
          <w:tcPr>
            <w:tcW w:w="5779" w:type="dxa"/>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项目名称</w:t>
            </w:r>
          </w:p>
        </w:tc>
        <w:tc>
          <w:tcPr>
            <w:tcW w:w="1276"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项目负责人</w:t>
            </w:r>
          </w:p>
        </w:tc>
        <w:tc>
          <w:tcPr>
            <w:tcW w:w="2693"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所在单位</w:t>
            </w:r>
          </w:p>
        </w:tc>
        <w:tc>
          <w:tcPr>
            <w:tcW w:w="1134" w:type="dxa"/>
            <w:shd w:val="clear" w:color="auto" w:fill="auto"/>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项目类型</w:t>
            </w:r>
          </w:p>
        </w:tc>
        <w:tc>
          <w:tcPr>
            <w:tcW w:w="1134" w:type="dxa"/>
            <w:vAlign w:val="center"/>
          </w:tcPr>
          <w:p>
            <w:pPr>
              <w:jc w:val="center"/>
              <w:rPr>
                <w:rFonts w:cs="宋体" w:asciiTheme="minorEastAsia" w:hAnsiTheme="minorEastAsia"/>
                <w:b/>
                <w:bCs/>
                <w:kern w:val="0"/>
                <w:szCs w:val="21"/>
              </w:rPr>
            </w:pPr>
            <w:r>
              <w:rPr>
                <w:rFonts w:hint="eastAsia" w:cs="宋体" w:asciiTheme="minorEastAsia" w:hAnsiTheme="minorEastAsia"/>
                <w:b/>
                <w:bCs/>
                <w:kern w:val="0"/>
                <w:szCs w:val="21"/>
              </w:rPr>
              <w:t>项目经费</w:t>
            </w:r>
          </w:p>
          <w:p>
            <w:pPr>
              <w:jc w:val="center"/>
              <w:rPr>
                <w:rFonts w:cs="宋体" w:asciiTheme="minorEastAsia" w:hAnsiTheme="minorEastAsia"/>
                <w:b/>
                <w:bCs/>
                <w:kern w:val="0"/>
                <w:szCs w:val="21"/>
              </w:rPr>
            </w:pPr>
            <w:r>
              <w:rPr>
                <w:rFonts w:hint="eastAsia" w:cs="宋体" w:asciiTheme="minorEastAsia" w:hAnsiTheme="minorEastAsia"/>
                <w:b/>
                <w:bCs/>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64</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ZX2020084</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珠江—西江经济带中三江侗族刺绣博物馆现代文创产品市场趋向研究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赵慧智</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设计学院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65</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ZX2020085</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珠江—西江经济带视角下侗族木构建筑营造技艺的教育引入与人才培养研究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赵冰洁</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设计学院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66</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ZX2020086</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生态文化宜居视域下珠江—西江经济带广西边区聚落艺术复兴</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慕明江</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设计学院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7"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67</w:t>
            </w:r>
          </w:p>
        </w:tc>
        <w:tc>
          <w:tcPr>
            <w:tcW w:w="1271"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ZX2020087</w:t>
            </w:r>
          </w:p>
        </w:tc>
        <w:tc>
          <w:tcPr>
            <w:tcW w:w="5779" w:type="dxa"/>
            <w:vAlign w:val="center"/>
          </w:tcPr>
          <w:p>
            <w:pPr>
              <w:jc w:val="left"/>
              <w:rPr>
                <w:rFonts w:cs="宋体" w:asciiTheme="minorEastAsia" w:hAnsiTheme="minorEastAsia"/>
                <w:szCs w:val="21"/>
              </w:rPr>
            </w:pPr>
            <w:r>
              <w:rPr>
                <w:rFonts w:hint="eastAsia" w:asciiTheme="minorEastAsia" w:hAnsiTheme="minorEastAsia"/>
                <w:szCs w:val="21"/>
              </w:rPr>
              <w:t>设计赋能珠江—西江经济带乡村振兴策略与路径研究</w:t>
            </w:r>
          </w:p>
        </w:tc>
        <w:tc>
          <w:tcPr>
            <w:tcW w:w="1276"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徐慧芸</w:t>
            </w:r>
          </w:p>
        </w:tc>
        <w:tc>
          <w:tcPr>
            <w:tcW w:w="2693"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设计学院</w:t>
            </w:r>
          </w:p>
        </w:tc>
        <w:tc>
          <w:tcPr>
            <w:tcW w:w="1134" w:type="dxa"/>
            <w:shd w:val="clear" w:color="auto" w:fill="auto"/>
            <w:vAlign w:val="center"/>
          </w:tcPr>
          <w:p>
            <w:pPr>
              <w:jc w:val="center"/>
              <w:rPr>
                <w:rFonts w:cs="宋体" w:asciiTheme="minorEastAsia" w:hAnsiTheme="minorEastAsia"/>
                <w:szCs w:val="21"/>
              </w:rPr>
            </w:pPr>
            <w:r>
              <w:rPr>
                <w:rFonts w:hint="eastAsia" w:asciiTheme="minorEastAsia" w:hAnsiTheme="minorEastAsia"/>
                <w:szCs w:val="21"/>
              </w:rPr>
              <w:t>硕士生</w:t>
            </w:r>
          </w:p>
        </w:tc>
        <w:tc>
          <w:tcPr>
            <w:tcW w:w="1134" w:type="dxa"/>
            <w:vAlign w:val="center"/>
          </w:tcPr>
          <w:p>
            <w:pPr>
              <w:jc w:val="center"/>
              <w:rPr>
                <w:rFonts w:cs="宋体" w:asciiTheme="minorEastAsia" w:hAnsiTheme="minorEastAsia"/>
                <w:szCs w:val="21"/>
              </w:rPr>
            </w:pPr>
            <w:r>
              <w:rPr>
                <w:rFonts w:hint="eastAsia" w:asciiTheme="minorEastAsia" w:hAnsiTheme="minorEastAsia"/>
                <w:szCs w:val="21"/>
              </w:rPr>
              <w:t>1</w:t>
            </w:r>
          </w:p>
        </w:tc>
      </w:tr>
    </w:tbl>
    <w:p/>
    <w:p>
      <w:bookmarkStart w:id="0" w:name="_GoBack"/>
      <w:bookmarkEnd w:id="0"/>
    </w:p>
    <w:sectPr>
      <w:pgSz w:w="16838" w:h="11906" w:orient="landscape"/>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7B3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THINKPAD</dc:creator>
  <cp:lastModifiedBy>社科处</cp:lastModifiedBy>
  <dcterms:modified xsi:type="dcterms:W3CDTF">2020-05-30T09:41:26Z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