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2137410</wp:posOffset>
            </wp:positionH>
            <wp:positionV relativeFrom="paragraph">
              <wp:posOffset>705485</wp:posOffset>
            </wp:positionV>
            <wp:extent cx="2470150" cy="593725"/>
            <wp:effectExtent l="0" t="0" r="6350" b="15875"/>
            <wp:wrapNone/>
            <wp:docPr id="2" name="图片 2" descr="英文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英文校名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bCs/>
          <w:sz w:val="72"/>
          <w:szCs w:val="7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posOffset>657225</wp:posOffset>
            </wp:positionV>
            <wp:extent cx="658495" cy="641985"/>
            <wp:effectExtent l="0" t="0" r="8255" b="5715"/>
            <wp:wrapNone/>
            <wp:docPr id="3" name="图片 2" descr="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校徽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41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宋体" w:hAnsi="宋体"/>
          <w:b/>
          <w:bCs/>
          <w:sz w:val="72"/>
          <w:szCs w:val="72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  <w:b/>
          <w:bCs/>
          <w:spacing w:val="108"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pacing w:val="12"/>
          <w:sz w:val="48"/>
          <w:szCs w:val="48"/>
        </w:rPr>
      </w:pPr>
      <w:r>
        <w:rPr>
          <w:rFonts w:hint="eastAsia" w:ascii="黑体" w:hAnsi="黑体" w:eastAsia="黑体" w:cs="黑体"/>
          <w:b/>
          <w:bCs/>
          <w:spacing w:val="12"/>
          <w:sz w:val="48"/>
          <w:szCs w:val="48"/>
        </w:rPr>
        <w:t xml:space="preserve">  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  <w:lang w:eastAsia="zh-CN"/>
        </w:rPr>
        <w:t>“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  <w:lang w:val="en-US" w:eastAsia="zh-CN"/>
        </w:rPr>
        <w:t>四大工程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  <w:lang w:eastAsia="zh-CN"/>
        </w:rPr>
        <w:t>”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  <w:lang w:val="en-US" w:eastAsia="zh-CN"/>
        </w:rPr>
        <w:t>培养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</w:rPr>
        <w:t>协议书</w:t>
      </w:r>
    </w:p>
    <w:p/>
    <w:p/>
    <w:p/>
    <w:p/>
    <w:p/>
    <w:p/>
    <w:p/>
    <w:p/>
    <w:p/>
    <w:p/>
    <w:p>
      <w:pPr>
        <w:rPr>
          <w:spacing w:val="60"/>
        </w:rPr>
      </w:pPr>
    </w:p>
    <w:p/>
    <w:p>
      <w:pPr>
        <w:spacing w:before="157" w:beforeLines="50"/>
        <w:ind w:firstLine="1928" w:firstLineChars="600"/>
        <w:rPr>
          <w:rFonts w:hint="eastAsia"/>
          <w:b/>
          <w:bCs/>
          <w:sz w:val="32"/>
          <w:u w:val="single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工程类别：</w:t>
      </w:r>
      <w:r>
        <w:rPr>
          <w:rFonts w:hint="eastAsia"/>
          <w:b/>
          <w:bCs/>
          <w:sz w:val="32"/>
          <w:u w:val="single"/>
          <w:lang w:val="en-US" w:eastAsia="zh-CN"/>
        </w:rPr>
        <w:t xml:space="preserve">       育才工程        </w:t>
      </w:r>
    </w:p>
    <w:p>
      <w:pPr>
        <w:spacing w:before="157" w:beforeLines="50"/>
        <w:ind w:firstLine="1928" w:firstLineChars="600"/>
        <w:rPr>
          <w:rFonts w:hint="default"/>
          <w:b/>
          <w:bCs/>
          <w:sz w:val="32"/>
          <w:u w:val="none"/>
          <w:lang w:val="en-US" w:eastAsia="zh-CN"/>
        </w:rPr>
      </w:pPr>
      <w:r>
        <w:rPr>
          <w:rFonts w:hint="eastAsia"/>
          <w:b/>
          <w:bCs/>
          <w:sz w:val="32"/>
          <w:u w:val="none"/>
          <w:lang w:val="en-US" w:eastAsia="zh-CN"/>
        </w:rPr>
        <w:t>批    次：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</w:t>
      </w:r>
      <w:r>
        <w:rPr>
          <w:rFonts w:hint="eastAsia"/>
          <w:b/>
          <w:bCs/>
          <w:sz w:val="32"/>
          <w:u w:val="single"/>
          <w:lang w:val="en-US" w:eastAsia="zh-CN"/>
        </w:rPr>
        <w:t xml:space="preserve">第    期  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</w:t>
      </w:r>
      <w:bookmarkStart w:id="0" w:name="_GoBack"/>
      <w:bookmarkEnd w:id="0"/>
    </w:p>
    <w:p>
      <w:pPr>
        <w:spacing w:before="157" w:beforeLines="50"/>
        <w:ind w:firstLine="1928" w:firstLineChars="600"/>
        <w:rPr>
          <w:rFonts w:hint="eastAsia" w:asciiTheme="majorEastAsia" w:hAnsiTheme="majorEastAsia" w:eastAsiaTheme="majorEastAsia"/>
          <w:b/>
          <w:bCs/>
          <w:sz w:val="32"/>
          <w:u w:val="single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培养对象</w:t>
      </w:r>
      <w:r>
        <w:rPr>
          <w:rFonts w:hint="eastAsia"/>
          <w:b/>
          <w:sz w:val="32"/>
        </w:rPr>
        <w:t>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</w:t>
      </w:r>
      <w:r>
        <w:rPr>
          <w:rFonts w:hint="eastAsia"/>
          <w:b/>
          <w:bCs/>
          <w:sz w:val="32"/>
          <w:u w:val="single"/>
          <w:lang w:val="en-US" w:eastAsia="zh-CN"/>
        </w:rPr>
        <w:t xml:space="preserve">          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</w:t>
      </w:r>
    </w:p>
    <w:p>
      <w:pPr>
        <w:spacing w:before="157" w:beforeLines="50"/>
        <w:ind w:firstLine="1928" w:firstLineChars="600"/>
      </w:pPr>
      <w:r>
        <w:rPr>
          <w:rFonts w:hint="eastAsia"/>
          <w:b/>
          <w:bCs/>
          <w:sz w:val="32"/>
        </w:rPr>
        <w:t>工作单位</w:t>
      </w:r>
      <w:r>
        <w:rPr>
          <w:rFonts w:hint="eastAsia"/>
          <w:b/>
          <w:sz w:val="32"/>
        </w:rPr>
        <w:t>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</w:t>
      </w:r>
      <w:r>
        <w:rPr>
          <w:rFonts w:hint="eastAsia"/>
          <w:b/>
          <w:bCs/>
          <w:sz w:val="32"/>
          <w:u w:val="single"/>
          <w:lang w:val="en-US" w:eastAsia="zh-CN"/>
        </w:rPr>
        <w:t xml:space="preserve">          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</w:t>
      </w:r>
    </w:p>
    <w:p/>
    <w:p/>
    <w:p/>
    <w:p/>
    <w:p/>
    <w:p/>
    <w:p/>
    <w:p>
      <w:pPr>
        <w:jc w:val="center"/>
        <w:rPr>
          <w:rFonts w:ascii="宋体" w:hAnsi="宋体"/>
          <w:spacing w:val="20"/>
          <w:sz w:val="44"/>
          <w:szCs w:val="44"/>
        </w:rPr>
      </w:pPr>
      <w:r>
        <w:rPr>
          <w:rFonts w:hint="eastAsia" w:ascii="宋体" w:hAnsi="宋体"/>
          <w:spacing w:val="20"/>
          <w:sz w:val="44"/>
          <w:szCs w:val="44"/>
        </w:rPr>
        <w:t>广西师范大学人事处 制</w:t>
      </w:r>
    </w:p>
    <w:p>
      <w:pPr>
        <w:jc w:val="center"/>
        <w:rPr>
          <w:rFonts w:ascii="宋体" w:hAnsi="宋体"/>
          <w:spacing w:val="20"/>
          <w:sz w:val="44"/>
          <w:szCs w:val="44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>
      <w:pPr>
        <w:pStyle w:val="4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广西师范大学骨干教师海外研修“育才工程”培养协议书</w:t>
      </w:r>
    </w:p>
    <w:p>
      <w:pPr>
        <w:pStyle w:val="4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甲方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： 广西师范大学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甲方授权委托人： 黄晓昀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乙方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：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00" w:lineRule="exact"/>
        <w:ind w:firstLine="56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身份证号码：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00" w:lineRule="exact"/>
        <w:ind w:firstLine="56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00" w:lineRule="exact"/>
        <w:ind w:firstLine="560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丙方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（乙方所在学院（部））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00" w:lineRule="exact"/>
        <w:ind w:firstLine="420" w:firstLineChars="15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为保证广西师范大学教师队伍建设“四大工程”行动计划顺利实施，保障各方权益，根据《广西师范大学教师队伍建设“四大工程”行动计划》、《广西师范大学骨干教师海外研修“育才工程”实施办法》（以下简称《实施办法》）有关规定，经三方平等协商，订立本协议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pacing w:line="500" w:lineRule="exact"/>
        <w:ind w:firstLineChars="0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第一条  培育期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="592" w:firstLineChars="200"/>
        <w:textAlignment w:val="auto"/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通过遴选和审批，确定乙方为“广西师范大学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骨干教师海外研修“育才工程”第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期培养对象，培育期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个月，自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日至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日。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left="1" w:firstLine="817" w:firstLineChars="292"/>
        <w:textAlignment w:val="auto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培育期内，甲方同意乙方以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广西师范大学教师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身份赴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（机构）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（专业）学习，进修形式为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访问学者、攻读博士学位、博士后研究）。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pacing w:line="500" w:lineRule="exact"/>
        <w:ind w:left="48" w:leftChars="23" w:firstLine="56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第二条 权利和义务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Chars="0"/>
        <w:textAlignment w:val="auto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  <w:t>甲方权利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1.根据《广西师范大学教师队伍建设“四大工程”行动计划》和《广西师范大学骨干教师海外研修“育才工程”实施办法》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等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有关文件规定以及本协议约定内容，对乙方进行监督、管理。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2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.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依照国家、自治区法律法规及本单位的有关规定，对乙方进行评估考核和奖惩。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（二）甲方义务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right="-6" w:firstLine="560" w:firstLineChars="200"/>
        <w:textAlignment w:val="auto"/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  <w:t>由于甲方同意乙方为在职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  <w:lang w:val="en-US" w:eastAsia="zh-CN"/>
        </w:rPr>
        <w:t>进修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  <w:t>，因此在乙方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  <w:lang w:val="en-US" w:eastAsia="zh-CN"/>
        </w:rPr>
        <w:t>进修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  <w:t>期间，甲方同意支付乙方岗位工资、薪级工资、基础性绩效工资和物业补贴。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  <w:t>由于乙方为脱产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  <w:lang w:val="en-US" w:eastAsia="zh-CN"/>
        </w:rPr>
        <w:t>进修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  <w:t>，因此乙方同意甲方停发岗位绩效。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  <w:t>基于乙方同意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  <w:lang w:val="en-US" w:eastAsia="zh-CN"/>
        </w:rPr>
        <w:t>进修结束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  <w:t>后回甲方报到并连续工作满本合同约定的期限，甲方同意给予乙方以下进修培训费用的资助：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right="-6" w:firstLine="556"/>
        <w:textAlignment w:val="auto"/>
        <w:rPr>
          <w:rFonts w:hint="eastAsia" w:ascii="仿宋" w:hAnsi="仿宋" w:eastAsia="仿宋" w:cs="仿宋"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甲方以乙方聘用岗位对应的岗位绩效为标准提供一般资助。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right="-6" w:firstLine="556"/>
        <w:textAlignment w:val="auto"/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  <w:t>（2）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  <w:lang w:val="en-US" w:eastAsia="zh-CN"/>
        </w:rPr>
        <w:t>甲方为乙方提供以下专项资助：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right="-6" w:firstLine="556"/>
        <w:textAlignment w:val="auto"/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  <w:t>①甲方参照《财政部、教育部关于调整国（境）家公派留学人员奖学金和艰苦地区补贴标准的通知》（财科教〔2019〕6号）资助标准的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  <w:t>倍为乙方提供进修资助。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right="-6" w:firstLine="556"/>
        <w:textAlignment w:val="auto"/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  <w:t>②乙方属攻读博士学位人员的，甲方按照《实施办法》相关规定给予乙方学费资助。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right="-6" w:firstLine="556"/>
        <w:textAlignment w:val="auto"/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</w:rPr>
        <w:t>以上进修培训费用的资助中，一般资助按月给予发放；</w:t>
      </w:r>
      <w:r>
        <w:rPr>
          <w:rFonts w:hint="eastAsia" w:ascii="仿宋" w:hAnsi="仿宋" w:eastAsia="仿宋" w:cs="仿宋"/>
          <w:bCs/>
          <w:color w:val="FF0000"/>
          <w:sz w:val="28"/>
          <w:szCs w:val="28"/>
          <w:highlight w:val="none"/>
          <w:lang w:val="en-US" w:eastAsia="zh-CN"/>
        </w:rPr>
        <w:t>专项资助待乙方进修结束取得相应进修证明回校报到，且按照《实施办法》相关规定考核合格后予以发放。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  <w:t>（三）乙方权利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1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．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乙方按照《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实施办法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》有关规定在培育期内享受甲方提供的项目资助。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48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（四）乙方义务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1.于离境前10天以上到学校外事、人事和财务部门办理好相关的离校手续。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right="-6" w:firstLine="557" w:firstLineChars="199"/>
        <w:textAlignment w:val="auto"/>
        <w:rPr>
          <w:rFonts w:hint="eastAsia" w:ascii="仿宋" w:hAnsi="仿宋" w:eastAsia="仿宋" w:cs="仿宋"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乙方在外进修期间，应自觉服从接收单位以及我国驻外使领馆等的管理，并遵守我国的有关法律法规；遵守所在国家和地区的法律，尊重当地的风俗习惯和宗教信仰；不得从事有损祖国利益和安全的活动，维护祖国荣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right="-6" w:firstLine="557" w:firstLineChars="199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3.乙方在进修期间，须与丙方保持联系，自觉遵守甲方各项规章制度。按期完成进修计划和各项考核任务，服从甲方管理。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right="-6" w:firstLine="557" w:firstLineChars="199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4.在国（境）外学习期间，乙方不得擅自终止或延长学习期限，不得调整进修计划，包括进修形式、培养单位和专业。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5.（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适用于访问学者、博士后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）乙方须于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日前回甲方报到，回原岗位工作，并向甲方人事处提交书面研修总结、《留学回国人员证明》以及考核材料。回校报到后乙方须在甲方连续服务5年（从乙方回甲方报到工作之日起算）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【5】（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适用于攻读博士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）乙方须于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前回甲方报到，回原岗位工作，并向甲方人事处提交书面进修总结、《留学回国人员证明》、学历学位认证以及相关考核材料。取得博士学位后须乙方在甲方连续服务8年（从乙方取得博士学位回甲方报到工作之日起算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pacing w:line="500" w:lineRule="exact"/>
        <w:ind w:firstLineChars="0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第三条 考核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="592" w:firstLineChars="200"/>
        <w:textAlignment w:val="auto"/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（一）培育期结束，甲方按照《实施办法》规定的考核任务要求对乙方开展考核评估，考核合格，甲方给予发放本协议第二条约定的专项资助。考核不合格，专项资助不予发放，同时视为乙方违约，甲方有权追究乙方违约责任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564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第四条 违约责任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（一）乙方逾期不回校报到，属于违约，甲方有权停止向乙方支付资助款项，停发所有工资待遇，停止缴存住房公积金和各类社会保险。乙方逾期1个月仍未归者，甲方有权按自动离职处理乙方。乙方须退还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甲方已支付的一般资助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专项资助不予发放，同时按照甲方在乙方进修期间发放的所有工资福利待遇（包括岗位工资、薪级工资、基础性绩效工资、物业补贴、一般资助、社保和公积金的学校缴纳部分费用）和10万元为基数，给予甲方赔偿。因不可抗力造成逾期，且获甲方批准的，不在此列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乙方擅自终止或延长学习期限，调整进修计划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包括进修形式、培养单位和专业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的属于违约，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甲方有权停止向乙方支付资助款项，停发所有工资待遇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停止缴存住房公积金和各类社会保险。乙方须退还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甲方支付的一般资助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专项资助不予发放，同时按照甲方在乙方进修期间发放的所有工资福利待遇（包括岗位工资、薪级工资、基础性绩效工资、物业补贴、一般资助、社保和公积金的学校缴纳部分费用）和10万元为基数，给予甲方赔偿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）乙方在出国（境）学习期间要求调离学校的（含辞职），乙方须退还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甲方已支付的一般资助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专项资助不予发放，同时按照甲方在乙方进修期间发放的所有工资福利待遇（包括岗位工资、薪级工资、基础性绩效工资、物业补贴、一般资助、社保和公积金的学校缴纳部分费用）和10万元为基数，给予甲方赔偿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）进修结束，乙方考核不合格的，乙方须退还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已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支付的一般资助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专项资助不予发放，同时按照甲方在乙方进修期间发放的所有工资福利待遇（包括岗位工资、薪级工资、基础性绩效工资、物业补贴、一般资助、社保和公积金的学校缴纳部分费用）和10万元为基数，给予甲方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right="-6" w:firstLine="501" w:firstLineChars="179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乙方在进修期间，须与所在学院（部）保持联系，自觉遵守甲方各项规章制度。如乙方在进修期间出现违反《教育部关于建立健全高校师德建设长效机制的意见》规定的“红七条”等情况达到解除聘用合同或者开除者，本协议自动终止，乙方须退还甲方已支付的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一般资助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，专项资助不予发放；同时按照甲方在乙方进修期间发放的所有工资福利待遇（包括岗位工资、薪级工资、基础性绩效工资、物业补贴、一般资助、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社保和公积金的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学校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</w:rPr>
        <w:t>缴纳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部分费用）和10万元为基数，给予甲方赔偿。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（五）（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适用于访问学者、博士后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乙方回校报到后在甲方连续工作未满5年的，属于违约，乙方须退还乙方已资助的培训费用（含本协议第二条约定的一般资助和专项资助费用），同时按照甲方在乙方进修期间发放的所有工资福利待遇（包括岗位工资、薪级工资、基础性绩效工资、物业补贴、一般资助、社保和公积金的学校缴纳部分费用）和10万元为基数，给予甲方赔偿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【五】（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</w:rPr>
        <w:t>适用于攻读博士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乙方取得博士学位后在甲方连续工作未满8年的，属于违约，乙方须退还乙方已资助的培训费用（含本协议第二条约定的一般资助和专项资助费用），同时按照甲方在乙方进修期间发放的所有工资福利待遇（包括岗位工资、薪级工资、基础性绩效工资、物业补贴、一般资助、社保和公积金的学校缴纳部分费用）和10万元为基数，给予甲方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="594" w:firstLineChars="200"/>
        <w:textAlignment w:val="auto"/>
        <w:rPr>
          <w:rFonts w:hint="eastAsia" w:ascii="仿宋" w:hAnsi="仿宋" w:eastAsia="仿宋" w:cs="仿宋"/>
          <w:b/>
          <w:bCs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pacing w:val="8"/>
          <w:sz w:val="28"/>
          <w:szCs w:val="28"/>
          <w:highlight w:val="none"/>
        </w:rPr>
        <w:t>第五条  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="592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（一）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甲、乙、丙三方因履行本协议发生纠纷，应在甲方所在地人民法院提起诉讼。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（二）签字各方在此声明并确认：均已仔细阅读本协议所有条款，并充分理解，承诺履行协议规定的责任和义务。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="638" w:firstLineChars="228"/>
        <w:textAlignment w:val="auto"/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（三）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本协议一式4份，甲、乙、丙方、甲方档案馆四方各持1份。本协议于签字（盖章）之日起生效。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="592" w:firstLineChars="200"/>
        <w:textAlignment w:val="auto"/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</w:rPr>
        <w:t>（四）本协议如有未尽事项，应由三方协商，做出补充规定。补充规定与本协议具有同等效力。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甲方（盖章）                          乙方（签字）：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甲方法定代表人或                         （指印）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其委托代理人（签章）：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1120" w:firstLineChars="4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年    月   日                     年    月   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               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丙方（盖章）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丙方主要负责人（签名）：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年    月   日  </w:t>
      </w:r>
    </w:p>
    <w:sectPr>
      <w:footerReference r:id="rId3" w:type="default"/>
      <w:footerReference r:id="rId4" w:type="even"/>
      <w:pgSz w:w="11906" w:h="16838"/>
      <w:pgMar w:top="1361" w:right="1418" w:bottom="136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4</w:t>
    </w:r>
    <w: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151ED"/>
    <w:multiLevelType w:val="multilevel"/>
    <w:tmpl w:val="667151ED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FC4BCB"/>
    <w:rsid w:val="00AE1C29"/>
    <w:rsid w:val="00AF58E0"/>
    <w:rsid w:val="00EB6C74"/>
    <w:rsid w:val="00F7208C"/>
    <w:rsid w:val="03715307"/>
    <w:rsid w:val="0419271D"/>
    <w:rsid w:val="0C3A1C2B"/>
    <w:rsid w:val="0D944531"/>
    <w:rsid w:val="158E72EF"/>
    <w:rsid w:val="1E6A2409"/>
    <w:rsid w:val="27F802C3"/>
    <w:rsid w:val="2C56782C"/>
    <w:rsid w:val="2DD142E3"/>
    <w:rsid w:val="36FC2EDF"/>
    <w:rsid w:val="3C597DEF"/>
    <w:rsid w:val="3C960868"/>
    <w:rsid w:val="491D2AD5"/>
    <w:rsid w:val="4AB16141"/>
    <w:rsid w:val="4BDF1ACA"/>
    <w:rsid w:val="4E9C2F22"/>
    <w:rsid w:val="4EDD13AC"/>
    <w:rsid w:val="5232038E"/>
    <w:rsid w:val="55A347BB"/>
    <w:rsid w:val="57FC4BCB"/>
    <w:rsid w:val="5D576762"/>
    <w:rsid w:val="628924B4"/>
    <w:rsid w:val="6709007B"/>
    <w:rsid w:val="6BDE1D5C"/>
    <w:rsid w:val="6D882A33"/>
    <w:rsid w:val="796D1EB3"/>
    <w:rsid w:val="7B82287B"/>
    <w:rsid w:val="7EAA360B"/>
    <w:rsid w:val="7EDA2B8C"/>
    <w:rsid w:val="7FE2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ody Text Indent"/>
    <w:basedOn w:val="1"/>
    <w:qFormat/>
    <w:uiPriority w:val="0"/>
    <w:pPr>
      <w:spacing w:line="600" w:lineRule="exact"/>
      <w:ind w:firstLine="720" w:firstLineChars="200"/>
    </w:pPr>
    <w:rPr>
      <w:rFonts w:ascii="FangSong_GB2312" w:hAnsi="宋体" w:eastAsia="FangSong_GB2312"/>
      <w:sz w:val="36"/>
      <w:szCs w:val="30"/>
    </w:rPr>
  </w:style>
  <w:style w:type="paragraph" w:styleId="4">
    <w:name w:val="Plain Text"/>
    <w:basedOn w:val="1"/>
    <w:unhideWhenUsed/>
    <w:qFormat/>
    <w:uiPriority w:val="99"/>
    <w:rPr>
      <w:rFonts w:hAnsi="Courier New"/>
    </w:rPr>
  </w:style>
  <w:style w:type="paragraph" w:styleId="5">
    <w:name w:val="Body Text Indent 2"/>
    <w:basedOn w:val="1"/>
    <w:qFormat/>
    <w:uiPriority w:val="0"/>
    <w:pPr>
      <w:spacing w:line="360" w:lineRule="exact"/>
      <w:ind w:firstLine="480"/>
    </w:pPr>
    <w:rPr>
      <w:rFonts w:ascii="宋体"/>
      <w:kern w:val="0"/>
      <w:sz w:val="24"/>
      <w:szCs w:val="24"/>
    </w:r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annotation subject"/>
    <w:basedOn w:val="2"/>
    <w:next w:val="2"/>
    <w:link w:val="15"/>
    <w:qFormat/>
    <w:uiPriority w:val="0"/>
    <w:rPr>
      <w:b/>
      <w:bCs/>
    </w:r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semiHidden/>
    <w:unhideWhenUsed/>
    <w:qFormat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10"/>
    <w:link w:val="2"/>
    <w:semiHidden/>
    <w:qFormat/>
    <w:uiPriority w:val="99"/>
    <w:rPr>
      <w:rFonts w:ascii="Times New Roman" w:hAnsi="Times New Roman" w:eastAsia="宋体"/>
      <w:kern w:val="2"/>
      <w:sz w:val="21"/>
      <w:szCs w:val="22"/>
    </w:rPr>
  </w:style>
  <w:style w:type="character" w:customStyle="1" w:styleId="15">
    <w:name w:val="批注主题 字符"/>
    <w:basedOn w:val="14"/>
    <w:link w:val="8"/>
    <w:qFormat/>
    <w:uiPriority w:val="0"/>
    <w:rPr>
      <w:rFonts w:ascii="Times New Roman" w:hAnsi="Times New Roman" w:eastAsia="宋体"/>
      <w:b/>
      <w:bCs/>
      <w:kern w:val="2"/>
      <w:sz w:val="21"/>
      <w:szCs w:val="22"/>
    </w:rPr>
  </w:style>
  <w:style w:type="character" w:customStyle="1" w:styleId="16">
    <w:name w:val="批注框文本 字符"/>
    <w:basedOn w:val="10"/>
    <w:link w:val="6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457</Words>
  <Characters>2609</Characters>
  <Lines>21</Lines>
  <Paragraphs>6</Paragraphs>
  <TotalTime>1</TotalTime>
  <ScaleCrop>false</ScaleCrop>
  <LinksUpToDate>false</LinksUpToDate>
  <CharactersWithSpaces>3060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2020-07-28T00:57:00Z</dcterms:created>
  <dc:creator>人事处</dc:creator>
  <cp:lastModifiedBy>人事处</cp:lastModifiedBy>
  <dcterms:modified xsi:type="dcterms:W3CDTF">2020-08-15T02:27:19Z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