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bCs/>
          <w:sz w:val="28"/>
          <w:szCs w:val="24"/>
        </w:rPr>
      </w:pPr>
    </w:p>
    <w:tbl>
      <w:tblPr>
        <w:tblStyle w:val="15"/>
        <w:tblW w:w="3880" w:type="dxa"/>
        <w:tblInd w:w="477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4" w:type="dxa"/>
          <w:bottom w:w="0" w:type="dxa"/>
          <w:right w:w="14" w:type="dxa"/>
        </w:tblCellMar>
      </w:tblPr>
      <w:tblGrid>
        <w:gridCol w:w="2080"/>
        <w:gridCol w:w="18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4" w:type="dxa"/>
            <w:bottom w:w="0" w:type="dxa"/>
            <w:right w:w="14" w:type="dxa"/>
          </w:tblCellMar>
        </w:tblPrEx>
        <w:trPr>
          <w:cantSplit/>
          <w:trHeight w:val="454" w:hRule="atLeast"/>
        </w:trPr>
        <w:tc>
          <w:tcPr>
            <w:tcW w:w="2080" w:type="dxa"/>
            <w:vAlign w:val="center"/>
          </w:tcPr>
          <w:p>
            <w:pPr>
              <w:snapToGrid w:val="0"/>
              <w:jc w:val="center"/>
              <w:rPr>
                <w:rFonts w:eastAsia="楷体_GB2312"/>
                <w:sz w:val="24"/>
                <w:szCs w:val="24"/>
              </w:rPr>
            </w:pPr>
            <w:r>
              <w:rPr>
                <w:rFonts w:eastAsia="楷体_GB2312"/>
                <w:sz w:val="24"/>
                <w:szCs w:val="24"/>
              </w:rPr>
              <w:t>批准立项年份</w:t>
            </w:r>
          </w:p>
        </w:tc>
        <w:tc>
          <w:tcPr>
            <w:tcW w:w="1800" w:type="dxa"/>
            <w:vAlign w:val="center"/>
          </w:tcPr>
          <w:p>
            <w:pPr>
              <w:snapToGrid w:val="0"/>
              <w:jc w:val="center"/>
              <w:rPr>
                <w:rFonts w:eastAsia="楷体_GB2312"/>
                <w:sz w:val="24"/>
                <w:szCs w:val="24"/>
              </w:rPr>
            </w:pPr>
            <w:r>
              <w:rPr>
                <w:rFonts w:hint="eastAsia" w:eastAsia="楷体_GB2312"/>
                <w:sz w:val="24"/>
                <w:szCs w:val="24"/>
              </w:rPr>
              <w:t>2005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4" w:type="dxa"/>
            <w:bottom w:w="0" w:type="dxa"/>
            <w:right w:w="14" w:type="dxa"/>
          </w:tblCellMar>
        </w:tblPrEx>
        <w:trPr>
          <w:cantSplit/>
          <w:trHeight w:val="454" w:hRule="atLeast"/>
        </w:trPr>
        <w:tc>
          <w:tcPr>
            <w:tcW w:w="2080" w:type="dxa"/>
            <w:vAlign w:val="center"/>
          </w:tcPr>
          <w:p>
            <w:pPr>
              <w:snapToGrid w:val="0"/>
              <w:jc w:val="center"/>
              <w:rPr>
                <w:rFonts w:eastAsia="楷体_GB2312"/>
                <w:sz w:val="24"/>
                <w:szCs w:val="24"/>
              </w:rPr>
            </w:pPr>
            <w:r>
              <w:rPr>
                <w:rFonts w:eastAsia="楷体_GB2312"/>
                <w:sz w:val="24"/>
                <w:szCs w:val="24"/>
              </w:rPr>
              <w:t>通过验收年份</w:t>
            </w:r>
          </w:p>
        </w:tc>
        <w:tc>
          <w:tcPr>
            <w:tcW w:w="1800" w:type="dxa"/>
            <w:vAlign w:val="center"/>
          </w:tcPr>
          <w:p>
            <w:pPr>
              <w:snapToGrid w:val="0"/>
              <w:jc w:val="center"/>
              <w:rPr>
                <w:rFonts w:eastAsia="楷体_GB2312"/>
                <w:sz w:val="24"/>
                <w:szCs w:val="24"/>
              </w:rPr>
            </w:pPr>
            <w:r>
              <w:rPr>
                <w:rFonts w:hint="eastAsia" w:eastAsia="楷体_GB2312"/>
                <w:sz w:val="24"/>
                <w:szCs w:val="24"/>
              </w:rPr>
              <w:t>2008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4" w:type="dxa"/>
            <w:bottom w:w="0" w:type="dxa"/>
            <w:right w:w="14" w:type="dxa"/>
          </w:tblCellMar>
        </w:tblPrEx>
        <w:trPr>
          <w:cantSplit/>
          <w:trHeight w:val="454" w:hRule="atLeast"/>
        </w:trPr>
        <w:tc>
          <w:tcPr>
            <w:tcW w:w="2080" w:type="dxa"/>
            <w:vAlign w:val="center"/>
          </w:tcPr>
          <w:p>
            <w:pPr>
              <w:snapToGrid w:val="0"/>
              <w:jc w:val="center"/>
              <w:rPr>
                <w:rFonts w:eastAsia="楷体_GB2312"/>
                <w:sz w:val="24"/>
                <w:szCs w:val="24"/>
              </w:rPr>
            </w:pPr>
            <w:r>
              <w:rPr>
                <w:rFonts w:eastAsia="楷体_GB2312"/>
                <w:sz w:val="24"/>
                <w:szCs w:val="24"/>
              </w:rPr>
              <w:t>上轮评估年份</w:t>
            </w:r>
          </w:p>
        </w:tc>
        <w:tc>
          <w:tcPr>
            <w:tcW w:w="1800" w:type="dxa"/>
            <w:vAlign w:val="center"/>
          </w:tcPr>
          <w:p>
            <w:pPr>
              <w:snapToGrid w:val="0"/>
              <w:jc w:val="center"/>
              <w:rPr>
                <w:rFonts w:eastAsia="楷体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4" w:type="dxa"/>
            <w:bottom w:w="0" w:type="dxa"/>
            <w:right w:w="14" w:type="dxa"/>
          </w:tblCellMar>
        </w:tblPrEx>
        <w:trPr>
          <w:cantSplit/>
          <w:trHeight w:val="454" w:hRule="atLeast"/>
        </w:trPr>
        <w:tc>
          <w:tcPr>
            <w:tcW w:w="2080" w:type="dxa"/>
            <w:vAlign w:val="center"/>
          </w:tcPr>
          <w:p>
            <w:pPr>
              <w:snapToGrid w:val="0"/>
              <w:jc w:val="center"/>
              <w:rPr>
                <w:rFonts w:eastAsia="楷体_GB2312"/>
                <w:sz w:val="24"/>
                <w:szCs w:val="24"/>
              </w:rPr>
            </w:pPr>
            <w:r>
              <w:rPr>
                <w:rFonts w:eastAsia="楷体_GB2312"/>
                <w:sz w:val="24"/>
                <w:szCs w:val="24"/>
              </w:rPr>
              <w:t>上轮评估结果</w:t>
            </w:r>
          </w:p>
        </w:tc>
        <w:tc>
          <w:tcPr>
            <w:tcW w:w="1800" w:type="dxa"/>
            <w:vAlign w:val="center"/>
          </w:tcPr>
          <w:p>
            <w:pPr>
              <w:snapToGrid w:val="0"/>
              <w:jc w:val="center"/>
              <w:rPr>
                <w:rFonts w:eastAsia="楷体_GB2312"/>
                <w:sz w:val="24"/>
                <w:szCs w:val="24"/>
              </w:rPr>
            </w:pPr>
          </w:p>
        </w:tc>
      </w:tr>
    </w:tbl>
    <w:p>
      <w:pPr>
        <w:rPr>
          <w:rFonts w:eastAsia="楷体_GB2312"/>
          <w:sz w:val="28"/>
          <w:szCs w:val="24"/>
        </w:rPr>
      </w:pPr>
    </w:p>
    <w:p>
      <w:pPr>
        <w:jc w:val="center"/>
        <w:rPr>
          <w:rFonts w:eastAsia="楷体_GB2312"/>
          <w:sz w:val="28"/>
          <w:szCs w:val="24"/>
        </w:rPr>
      </w:pPr>
      <w:r>
        <w:rPr>
          <w:rFonts w:eastAsia="黑体"/>
          <w:b/>
          <w:sz w:val="44"/>
          <w:szCs w:val="24"/>
        </w:rPr>
        <w:t>教育部重点实验室评估五年工作总结报告</w:t>
      </w:r>
    </w:p>
    <w:p>
      <w:pPr>
        <w:jc w:val="center"/>
        <w:rPr>
          <w:rFonts w:eastAsia="楷体_GB2312"/>
          <w:sz w:val="28"/>
          <w:szCs w:val="24"/>
        </w:rPr>
      </w:pPr>
      <w:r>
        <w:rPr>
          <w:rFonts w:eastAsia="楷体_GB2312"/>
          <w:sz w:val="28"/>
          <w:szCs w:val="24"/>
        </w:rPr>
        <w:t>（</w:t>
      </w:r>
      <w:r>
        <w:rPr>
          <w:rFonts w:hint="eastAsia" w:ascii="宋体" w:hAnsi="宋体" w:cs="宋体"/>
          <w:sz w:val="28"/>
          <w:szCs w:val="24"/>
        </w:rPr>
        <w:t>2014</w:t>
      </w:r>
      <w:r>
        <w:rPr>
          <w:rFonts w:eastAsia="楷体_GB2312"/>
          <w:sz w:val="28"/>
          <w:szCs w:val="24"/>
        </w:rPr>
        <w:t>年</w:t>
      </w:r>
      <w:r>
        <w:rPr>
          <w:rFonts w:hint="eastAsia" w:ascii="宋体" w:hAnsi="宋体" w:cs="宋体"/>
          <w:sz w:val="28"/>
          <w:szCs w:val="24"/>
        </w:rPr>
        <w:t>1</w:t>
      </w:r>
      <w:r>
        <w:rPr>
          <w:rFonts w:eastAsia="楷体_GB2312"/>
          <w:sz w:val="28"/>
          <w:szCs w:val="24"/>
        </w:rPr>
        <w:t>月——</w:t>
      </w:r>
      <w:r>
        <w:rPr>
          <w:rFonts w:hint="eastAsia" w:eastAsia="楷体_GB2312"/>
          <w:sz w:val="28"/>
          <w:szCs w:val="24"/>
        </w:rPr>
        <w:t>2018</w:t>
      </w:r>
      <w:r>
        <w:rPr>
          <w:rFonts w:eastAsia="楷体_GB2312"/>
          <w:sz w:val="28"/>
          <w:szCs w:val="24"/>
        </w:rPr>
        <w:t>年</w:t>
      </w:r>
      <w:r>
        <w:rPr>
          <w:rFonts w:hint="eastAsia" w:ascii="宋体" w:hAnsi="宋体" w:cs="宋体"/>
          <w:sz w:val="28"/>
          <w:szCs w:val="24"/>
        </w:rPr>
        <w:t>12</w:t>
      </w:r>
      <w:r>
        <w:rPr>
          <w:rFonts w:eastAsia="楷体_GB2312"/>
          <w:sz w:val="28"/>
          <w:szCs w:val="24"/>
        </w:rPr>
        <w:t>月）</w:t>
      </w:r>
    </w:p>
    <w:p>
      <w:pPr>
        <w:rPr>
          <w:rFonts w:eastAsia="楷体_GB2312"/>
          <w:sz w:val="28"/>
          <w:szCs w:val="24"/>
        </w:rPr>
      </w:pPr>
    </w:p>
    <w:p>
      <w:pPr>
        <w:rPr>
          <w:rFonts w:eastAsia="楷体_GB2312"/>
          <w:sz w:val="28"/>
          <w:szCs w:val="24"/>
        </w:rPr>
      </w:pPr>
    </w:p>
    <w:p>
      <w:pPr>
        <w:rPr>
          <w:rFonts w:eastAsia="楷体_GB2312"/>
          <w:b/>
          <w:sz w:val="28"/>
          <w:szCs w:val="24"/>
        </w:rPr>
      </w:pPr>
      <w:r>
        <w:rPr>
          <w:rFonts w:hint="eastAsia" w:eastAsia="楷体_GB2312"/>
          <w:b/>
          <w:sz w:val="28"/>
          <w:szCs w:val="24"/>
        </w:rPr>
        <w:t xml:space="preserve">  </w:t>
      </w:r>
    </w:p>
    <w:p>
      <w:pPr>
        <w:spacing w:before="120" w:after="120" w:line="440" w:lineRule="exact"/>
        <w:rPr>
          <w:rFonts w:ascii="黑体" w:hAnsi="黑体" w:eastAsia="黑体"/>
          <w:sz w:val="28"/>
          <w:szCs w:val="28"/>
        </w:rPr>
      </w:pPr>
      <w:r>
        <w:rPr>
          <w:rFonts w:ascii="黑体" w:hAnsi="黑体" w:eastAsia="黑体"/>
          <w:sz w:val="28"/>
          <w:szCs w:val="28"/>
        </w:rPr>
        <w:t>实验室名称：</w:t>
      </w:r>
      <w:r>
        <w:rPr>
          <w:rFonts w:hint="eastAsia" w:ascii="黑体" w:hAnsi="黑体" w:eastAsia="黑体"/>
          <w:sz w:val="28"/>
          <w:szCs w:val="28"/>
        </w:rPr>
        <w:t>药用资源化学与药物分子工程重点实验室</w:t>
      </w:r>
    </w:p>
    <w:p>
      <w:pPr>
        <w:spacing w:before="120" w:after="120" w:line="440" w:lineRule="exact"/>
        <w:rPr>
          <w:rFonts w:ascii="黑体" w:hAnsi="黑体" w:eastAsia="黑体"/>
          <w:sz w:val="28"/>
          <w:szCs w:val="28"/>
        </w:rPr>
      </w:pPr>
      <w:r>
        <w:rPr>
          <w:rFonts w:ascii="黑体" w:hAnsi="黑体" w:eastAsia="黑体"/>
          <w:sz w:val="28"/>
          <w:szCs w:val="28"/>
        </w:rPr>
        <w:t>实验室主任：</w:t>
      </w:r>
      <w:r>
        <w:rPr>
          <w:rFonts w:hint="eastAsia" w:ascii="黑体" w:hAnsi="黑体" w:eastAsia="黑体"/>
          <w:sz w:val="28"/>
          <w:szCs w:val="28"/>
        </w:rPr>
        <w:t xml:space="preserve"> 梁宏</w:t>
      </w:r>
    </w:p>
    <w:p>
      <w:pPr>
        <w:spacing w:before="120" w:after="120" w:line="440" w:lineRule="exact"/>
        <w:rPr>
          <w:rFonts w:ascii="黑体" w:hAnsi="黑体" w:eastAsia="黑体"/>
          <w:sz w:val="28"/>
          <w:szCs w:val="28"/>
        </w:rPr>
      </w:pPr>
      <w:r>
        <w:rPr>
          <w:rFonts w:ascii="黑体" w:hAnsi="黑体" w:eastAsia="黑体"/>
          <w:sz w:val="28"/>
          <w:szCs w:val="28"/>
        </w:rPr>
        <w:t>实验室联系人/联系电话：</w:t>
      </w:r>
      <w:r>
        <w:rPr>
          <w:rFonts w:hint="eastAsia" w:ascii="黑体" w:hAnsi="黑体" w:eastAsia="黑体"/>
          <w:sz w:val="28"/>
          <w:szCs w:val="28"/>
        </w:rPr>
        <w:t xml:space="preserve"> 陈振锋/13978321575</w:t>
      </w:r>
    </w:p>
    <w:p>
      <w:pPr>
        <w:spacing w:before="120" w:after="120" w:line="440" w:lineRule="exact"/>
        <w:rPr>
          <w:rFonts w:ascii="黑体" w:hAnsi="黑体" w:eastAsia="黑体"/>
          <w:sz w:val="28"/>
          <w:szCs w:val="28"/>
        </w:rPr>
      </w:pPr>
      <w:r>
        <w:rPr>
          <w:rFonts w:hint="eastAsia" w:ascii="黑体" w:hAnsi="黑体" w:eastAsia="黑体"/>
          <w:sz w:val="28"/>
          <w:szCs w:val="28"/>
        </w:rPr>
        <w:t>实验室联系人</w:t>
      </w:r>
      <w:r>
        <w:rPr>
          <w:rFonts w:ascii="黑体" w:hAnsi="黑体" w:eastAsia="黑体"/>
          <w:sz w:val="28"/>
          <w:szCs w:val="28"/>
        </w:rPr>
        <w:t>E-mail地址：</w:t>
      </w:r>
      <w:r>
        <w:rPr>
          <w:rFonts w:hint="eastAsia" w:ascii="黑体" w:hAnsi="黑体" w:eastAsia="黑体"/>
          <w:sz w:val="28"/>
          <w:szCs w:val="28"/>
        </w:rPr>
        <w:t xml:space="preserve"> zdsys303@126.com</w:t>
      </w:r>
    </w:p>
    <w:p>
      <w:pPr>
        <w:spacing w:before="120" w:after="120" w:line="440" w:lineRule="exact"/>
        <w:rPr>
          <w:rFonts w:ascii="黑体" w:hAnsi="黑体" w:eastAsia="黑体"/>
          <w:sz w:val="28"/>
          <w:szCs w:val="28"/>
        </w:rPr>
      </w:pPr>
      <w:r>
        <w:rPr>
          <w:rFonts w:ascii="黑体" w:hAnsi="黑体" w:eastAsia="黑体"/>
          <w:sz w:val="28"/>
          <w:szCs w:val="28"/>
        </w:rPr>
        <w:t>依托单位名称（盖章）：</w:t>
      </w:r>
      <w:r>
        <w:rPr>
          <w:rFonts w:hint="eastAsia" w:ascii="黑体" w:hAnsi="黑体" w:eastAsia="黑体"/>
          <w:sz w:val="28"/>
          <w:szCs w:val="28"/>
        </w:rPr>
        <w:t xml:space="preserve"> 广西师范大学</w:t>
      </w:r>
    </w:p>
    <w:p>
      <w:pPr>
        <w:spacing w:before="120" w:after="120" w:line="440" w:lineRule="exact"/>
        <w:rPr>
          <w:rFonts w:ascii="黑体" w:hAnsi="黑体" w:eastAsia="黑体"/>
          <w:sz w:val="28"/>
          <w:szCs w:val="28"/>
        </w:rPr>
      </w:pPr>
      <w:r>
        <w:rPr>
          <w:rFonts w:ascii="黑体" w:hAnsi="黑体" w:eastAsia="黑体"/>
          <w:sz w:val="28"/>
          <w:szCs w:val="28"/>
        </w:rPr>
        <w:t>依托单位联系人/联系电话：</w:t>
      </w:r>
      <w:r>
        <w:rPr>
          <w:rFonts w:hint="eastAsia" w:ascii="黑体" w:hAnsi="黑体" w:eastAsia="黑体"/>
          <w:sz w:val="28"/>
          <w:szCs w:val="28"/>
        </w:rPr>
        <w:t xml:space="preserve"> 程蕾/15077303993</w:t>
      </w:r>
    </w:p>
    <w:p>
      <w:pPr>
        <w:spacing w:before="120" w:after="120" w:line="440" w:lineRule="exact"/>
        <w:rPr>
          <w:rFonts w:ascii="黑体" w:hAnsi="黑体" w:eastAsia="黑体"/>
          <w:sz w:val="28"/>
          <w:szCs w:val="28"/>
        </w:rPr>
      </w:pPr>
      <w:r>
        <w:rPr>
          <w:rFonts w:hint="eastAsia" w:ascii="黑体" w:hAnsi="黑体" w:eastAsia="黑体"/>
          <w:sz w:val="28"/>
          <w:szCs w:val="28"/>
        </w:rPr>
        <w:t>依托单位联系人</w:t>
      </w:r>
      <w:r>
        <w:rPr>
          <w:rFonts w:ascii="黑体" w:hAnsi="黑体" w:eastAsia="黑体"/>
          <w:sz w:val="28"/>
          <w:szCs w:val="28"/>
        </w:rPr>
        <w:t>E-mail地址：</w:t>
      </w:r>
      <w:r>
        <w:fldChar w:fldCharType="begin"/>
      </w:r>
      <w:r>
        <w:instrText xml:space="preserve"> HYPERLINK "mailto:961106012@qq.com" </w:instrText>
      </w:r>
      <w:r>
        <w:fldChar w:fldCharType="separate"/>
      </w:r>
      <w:r>
        <w:fldChar w:fldCharType="end"/>
      </w:r>
      <w:r>
        <w:rPr>
          <w:rFonts w:ascii="黑体" w:hAnsi="黑体" w:eastAsia="黑体"/>
          <w:sz w:val="28"/>
          <w:szCs w:val="28"/>
        </w:rPr>
        <w:t>263548184@qq.com</w:t>
      </w:r>
    </w:p>
    <w:p>
      <w:pPr>
        <w:spacing w:before="120" w:after="120" w:line="440" w:lineRule="exact"/>
        <w:rPr>
          <w:rFonts w:eastAsia="楷体_GB2312"/>
          <w:sz w:val="28"/>
          <w:szCs w:val="24"/>
        </w:rPr>
      </w:pPr>
    </w:p>
    <w:p>
      <w:pPr>
        <w:jc w:val="center"/>
        <w:rPr>
          <w:rFonts w:eastAsia="楷体_GB2312"/>
          <w:sz w:val="28"/>
          <w:szCs w:val="24"/>
        </w:rPr>
      </w:pPr>
    </w:p>
    <w:p>
      <w:pPr>
        <w:jc w:val="center"/>
        <w:rPr>
          <w:rFonts w:eastAsia="楷体_GB2312"/>
          <w:sz w:val="28"/>
          <w:szCs w:val="24"/>
        </w:rPr>
      </w:pPr>
    </w:p>
    <w:p>
      <w:pPr>
        <w:rPr>
          <w:rFonts w:eastAsia="楷体_GB2312"/>
          <w:sz w:val="28"/>
          <w:szCs w:val="24"/>
        </w:rPr>
      </w:pPr>
    </w:p>
    <w:p>
      <w:pPr>
        <w:jc w:val="center"/>
        <w:rPr>
          <w:rFonts w:eastAsia="楷体_GB2312"/>
          <w:sz w:val="28"/>
          <w:szCs w:val="24"/>
        </w:rPr>
      </w:pPr>
      <w:r>
        <w:rPr>
          <w:rFonts w:hint="eastAsia" w:ascii="宋体" w:hAnsi="宋体" w:cs="宋体"/>
          <w:sz w:val="28"/>
          <w:szCs w:val="24"/>
        </w:rPr>
        <w:t xml:space="preserve">2019 </w:t>
      </w:r>
      <w:r>
        <w:rPr>
          <w:rFonts w:eastAsia="楷体_GB2312"/>
          <w:sz w:val="28"/>
          <w:szCs w:val="24"/>
        </w:rPr>
        <w:t>年</w:t>
      </w:r>
      <w:r>
        <w:rPr>
          <w:rFonts w:hint="eastAsia" w:ascii="宋体" w:hAnsi="宋体" w:cs="宋体"/>
          <w:sz w:val="28"/>
          <w:szCs w:val="24"/>
        </w:rPr>
        <w:t>8</w:t>
      </w:r>
      <w:r>
        <w:rPr>
          <w:rFonts w:eastAsia="楷体_GB2312"/>
          <w:sz w:val="28"/>
          <w:szCs w:val="24"/>
        </w:rPr>
        <w:t>月</w:t>
      </w:r>
      <w:r>
        <w:rPr>
          <w:rFonts w:hint="eastAsia" w:ascii="宋体" w:hAnsi="宋体" w:cs="宋体"/>
          <w:sz w:val="28"/>
          <w:szCs w:val="24"/>
        </w:rPr>
        <w:t>30</w:t>
      </w:r>
      <w:r>
        <w:rPr>
          <w:rFonts w:eastAsia="楷体_GB2312"/>
          <w:sz w:val="28"/>
          <w:szCs w:val="24"/>
        </w:rPr>
        <w:t>日填报</w:t>
      </w:r>
    </w:p>
    <w:p>
      <w:pPr>
        <w:spacing w:before="120" w:after="120"/>
        <w:rPr>
          <w:rFonts w:eastAsia="楷体_GB2312"/>
          <w:b/>
          <w:sz w:val="24"/>
          <w:szCs w:val="24"/>
        </w:rPr>
      </w:pPr>
    </w:p>
    <w:p>
      <w:pPr>
        <w:widowControl/>
        <w:jc w:val="center"/>
        <w:rPr>
          <w:rFonts w:eastAsia="黑体"/>
          <w:sz w:val="22"/>
          <w:szCs w:val="28"/>
        </w:rPr>
      </w:pPr>
      <w:r>
        <w:rPr>
          <w:rFonts w:eastAsia="楷体_GB2312"/>
          <w:b/>
          <w:sz w:val="24"/>
          <w:szCs w:val="24"/>
        </w:rPr>
        <w:br w:type="page"/>
      </w:r>
      <w:r>
        <w:rPr>
          <w:rFonts w:eastAsia="黑体"/>
          <w:sz w:val="28"/>
          <w:szCs w:val="28"/>
        </w:rPr>
        <w:t>简表填写说明</w:t>
      </w:r>
    </w:p>
    <w:p>
      <w:pPr>
        <w:adjustRightInd w:val="0"/>
        <w:snapToGrid w:val="0"/>
        <w:spacing w:after="62" w:afterLines="20" w:line="280" w:lineRule="exact"/>
        <w:ind w:firstLine="420" w:firstLineChars="200"/>
        <w:rPr>
          <w:rFonts w:ascii="华文仿宋" w:hAnsi="华文仿宋" w:eastAsia="华文仿宋"/>
          <w:szCs w:val="24"/>
        </w:rPr>
      </w:pPr>
      <w:r>
        <w:rPr>
          <w:rFonts w:ascii="华文仿宋" w:hAnsi="华文仿宋" w:eastAsia="华文仿宋"/>
          <w:szCs w:val="24"/>
        </w:rPr>
        <w:t>一、总结报告中各项指标只统计5年评估期限内的数据（如：201</w:t>
      </w:r>
      <w:r>
        <w:rPr>
          <w:rFonts w:hint="eastAsia" w:ascii="华文仿宋" w:hAnsi="华文仿宋" w:eastAsia="华文仿宋"/>
          <w:szCs w:val="24"/>
        </w:rPr>
        <w:t>9</w:t>
      </w:r>
      <w:r>
        <w:rPr>
          <w:rFonts w:ascii="华文仿宋" w:hAnsi="华文仿宋" w:eastAsia="华文仿宋"/>
          <w:szCs w:val="24"/>
        </w:rPr>
        <w:t>年实验室评估材料的起止时间为201</w:t>
      </w:r>
      <w:r>
        <w:rPr>
          <w:rFonts w:hint="eastAsia" w:ascii="华文仿宋" w:hAnsi="华文仿宋" w:eastAsia="华文仿宋"/>
          <w:szCs w:val="24"/>
        </w:rPr>
        <w:t>4</w:t>
      </w:r>
      <w:r>
        <w:rPr>
          <w:rFonts w:ascii="华文仿宋" w:hAnsi="华文仿宋" w:eastAsia="华文仿宋"/>
          <w:szCs w:val="24"/>
        </w:rPr>
        <w:t>年1月1日至201</w:t>
      </w:r>
      <w:r>
        <w:rPr>
          <w:rFonts w:hint="eastAsia" w:ascii="华文仿宋" w:hAnsi="华文仿宋" w:eastAsia="华文仿宋"/>
          <w:szCs w:val="24"/>
        </w:rPr>
        <w:t>8</w:t>
      </w:r>
      <w:r>
        <w:rPr>
          <w:rFonts w:ascii="华文仿宋" w:hAnsi="华文仿宋" w:eastAsia="华文仿宋"/>
          <w:szCs w:val="24"/>
        </w:rPr>
        <w:t>年12月31日）。</w:t>
      </w:r>
      <w:r>
        <w:rPr>
          <w:rFonts w:ascii="华文仿宋" w:hAnsi="华文仿宋" w:eastAsia="华文仿宋"/>
          <w:b/>
          <w:szCs w:val="24"/>
        </w:rPr>
        <w:t>报告中涉及的各项数据统计均需附说明或佐证材料，按要求单独装订。其中，清单列表作为附件一，佐证材料作为附件二。</w:t>
      </w:r>
    </w:p>
    <w:p>
      <w:pPr>
        <w:adjustRightInd w:val="0"/>
        <w:snapToGrid w:val="0"/>
        <w:spacing w:after="62" w:afterLines="20" w:line="280" w:lineRule="exact"/>
        <w:ind w:firstLine="420" w:firstLineChars="200"/>
        <w:rPr>
          <w:rFonts w:ascii="华文仿宋" w:hAnsi="华文仿宋" w:eastAsia="华文仿宋"/>
          <w:szCs w:val="24"/>
        </w:rPr>
      </w:pPr>
      <w:r>
        <w:rPr>
          <w:rFonts w:ascii="华文仿宋" w:hAnsi="华文仿宋" w:eastAsia="华文仿宋"/>
          <w:szCs w:val="24"/>
        </w:rPr>
        <w:t>二、</w:t>
      </w:r>
      <w:r>
        <w:rPr>
          <w:rFonts w:ascii="华文仿宋" w:hAnsi="华文仿宋" w:eastAsia="华文仿宋"/>
          <w:b/>
          <w:szCs w:val="24"/>
        </w:rPr>
        <w:t>“研究水平与贡献”</w:t>
      </w:r>
      <w:r>
        <w:rPr>
          <w:rFonts w:ascii="华文仿宋" w:hAnsi="华文仿宋" w:eastAsia="华文仿宋"/>
          <w:szCs w:val="24"/>
        </w:rPr>
        <w:t>栏中，所有统计数据指评估期内由实验室人员在本实验室完成的重大科研成果，以及通过国内外合作研究取得的重要成果。其中：</w:t>
      </w:r>
    </w:p>
    <w:p>
      <w:pPr>
        <w:adjustRightInd w:val="0"/>
        <w:snapToGrid w:val="0"/>
        <w:spacing w:after="62" w:afterLines="20" w:line="280" w:lineRule="exact"/>
        <w:ind w:firstLine="420" w:firstLineChars="200"/>
        <w:rPr>
          <w:rFonts w:ascii="华文仿宋" w:hAnsi="华文仿宋" w:eastAsia="华文仿宋"/>
          <w:szCs w:val="24"/>
        </w:rPr>
      </w:pPr>
      <w:r>
        <w:rPr>
          <w:rFonts w:ascii="华文仿宋" w:hAnsi="华文仿宋" w:eastAsia="华文仿宋"/>
          <w:szCs w:val="24"/>
        </w:rPr>
        <w:t>1.</w:t>
      </w:r>
      <w:r>
        <w:rPr>
          <w:rFonts w:ascii="华文仿宋" w:hAnsi="华文仿宋" w:eastAsia="华文仿宋"/>
          <w:b/>
          <w:szCs w:val="24"/>
        </w:rPr>
        <w:t>“论文与专著”</w:t>
      </w:r>
      <w:r>
        <w:rPr>
          <w:rFonts w:ascii="华文仿宋" w:hAnsi="华文仿宋" w:eastAsia="华文仿宋"/>
          <w:szCs w:val="24"/>
        </w:rPr>
        <w:t>栏中，成果署名须有实验室。专著指正式出版的学术著作，不包括译著、实验室年报、论文集等。未正式发表的论文、专著不得统计。他引是指论文被除作者及合作者以外其他人的引用。篇均他引只统计web of science中的数据。</w:t>
      </w:r>
    </w:p>
    <w:p>
      <w:pPr>
        <w:adjustRightInd w:val="0"/>
        <w:snapToGrid w:val="0"/>
        <w:spacing w:after="62" w:afterLines="20" w:line="280" w:lineRule="exact"/>
        <w:ind w:firstLine="420" w:firstLineChars="200"/>
        <w:rPr>
          <w:rFonts w:ascii="华文仿宋" w:hAnsi="华文仿宋" w:eastAsia="华文仿宋"/>
          <w:szCs w:val="24"/>
        </w:rPr>
      </w:pPr>
      <w:r>
        <w:rPr>
          <w:rFonts w:ascii="华文仿宋" w:hAnsi="华文仿宋" w:eastAsia="华文仿宋"/>
          <w:szCs w:val="24"/>
        </w:rPr>
        <w:t>2.</w:t>
      </w:r>
      <w:r>
        <w:rPr>
          <w:rFonts w:ascii="华文仿宋" w:hAnsi="华文仿宋" w:eastAsia="华文仿宋"/>
          <w:b/>
          <w:szCs w:val="24"/>
        </w:rPr>
        <w:t xml:space="preserve"> “奖励”</w:t>
      </w:r>
      <w:r>
        <w:rPr>
          <w:rFonts w:ascii="华文仿宋" w:hAnsi="华文仿宋" w:eastAsia="华文仿宋"/>
          <w:szCs w:val="24"/>
        </w:rPr>
        <w:t>栏中，取奖项排名最靠前的实验室人员，按照其排名计算系数。系数计算方式为：1/实验室最靠前人员排名。例如：在某奖项的获奖人员中，排名最靠前的实验室人员为第一完成人，则系数为1；若排名最靠前的为第二完成人，则系数为1/2=0.5。实验室在评估期内获某项奖励多次的，系数累加计算。部委（省）级奖指部委（省）级对应国家科学技术奖相应系列奖。一个成果若获两级奖励，填报最高级者。未正式批准的奖励不得统计。</w:t>
      </w:r>
    </w:p>
    <w:p>
      <w:pPr>
        <w:adjustRightInd w:val="0"/>
        <w:snapToGrid w:val="0"/>
        <w:spacing w:after="62" w:afterLines="20" w:line="280" w:lineRule="exact"/>
        <w:ind w:firstLine="420" w:firstLineChars="200"/>
        <w:rPr>
          <w:rFonts w:ascii="华文仿宋" w:hAnsi="华文仿宋" w:eastAsia="华文仿宋"/>
          <w:szCs w:val="24"/>
        </w:rPr>
      </w:pPr>
      <w:r>
        <w:rPr>
          <w:rFonts w:ascii="华文仿宋" w:hAnsi="华文仿宋" w:eastAsia="华文仿宋"/>
          <w:szCs w:val="24"/>
        </w:rPr>
        <w:t>3.</w:t>
      </w:r>
      <w:r>
        <w:rPr>
          <w:rFonts w:ascii="华文仿宋" w:hAnsi="华文仿宋" w:eastAsia="华文仿宋"/>
          <w:b/>
          <w:szCs w:val="24"/>
        </w:rPr>
        <w:t>“承担任务研究经费”</w:t>
      </w:r>
      <w:r>
        <w:rPr>
          <w:rFonts w:ascii="华文仿宋" w:hAnsi="华文仿宋" w:eastAsia="华文仿宋"/>
          <w:szCs w:val="24"/>
        </w:rPr>
        <w:t>指评估期内实验室实际到账的研究经费。</w:t>
      </w:r>
    </w:p>
    <w:p>
      <w:pPr>
        <w:adjustRightInd w:val="0"/>
        <w:snapToGrid w:val="0"/>
        <w:spacing w:after="62" w:afterLines="20" w:line="280" w:lineRule="exact"/>
        <w:ind w:firstLine="420" w:firstLineChars="200"/>
        <w:rPr>
          <w:rFonts w:ascii="华文仿宋" w:hAnsi="华文仿宋" w:eastAsia="华文仿宋"/>
          <w:szCs w:val="24"/>
        </w:rPr>
      </w:pPr>
      <w:r>
        <w:rPr>
          <w:rFonts w:ascii="华文仿宋" w:hAnsi="华文仿宋" w:eastAsia="华文仿宋"/>
          <w:szCs w:val="24"/>
        </w:rPr>
        <w:t>4.</w:t>
      </w:r>
      <w:r>
        <w:rPr>
          <w:rFonts w:ascii="华文仿宋" w:hAnsi="华文仿宋" w:eastAsia="华文仿宋"/>
          <w:b/>
          <w:szCs w:val="24"/>
        </w:rPr>
        <w:t>“发明专利与成果转化”</w:t>
      </w:r>
      <w:r>
        <w:rPr>
          <w:rFonts w:ascii="华文仿宋" w:hAnsi="华文仿宋" w:eastAsia="华文仿宋"/>
          <w:szCs w:val="24"/>
        </w:rPr>
        <w:t>栏中，某些行业批准的具有知识产权意义的国家级证书（如：新医药、新农药、新软件证书等）视同发明专利填报。国内外同内容专利不得重复统计。</w:t>
      </w:r>
    </w:p>
    <w:p>
      <w:pPr>
        <w:adjustRightInd w:val="0"/>
        <w:snapToGrid w:val="0"/>
        <w:spacing w:after="62" w:afterLines="20" w:line="280" w:lineRule="exact"/>
        <w:ind w:firstLine="420" w:firstLineChars="200"/>
        <w:rPr>
          <w:rFonts w:ascii="华文仿宋" w:hAnsi="华文仿宋" w:eastAsia="华文仿宋"/>
          <w:szCs w:val="24"/>
        </w:rPr>
      </w:pPr>
      <w:r>
        <w:rPr>
          <w:rFonts w:ascii="华文仿宋" w:hAnsi="华文仿宋" w:eastAsia="华文仿宋"/>
          <w:szCs w:val="24"/>
        </w:rPr>
        <w:t>5.</w:t>
      </w:r>
      <w:r>
        <w:rPr>
          <w:rFonts w:ascii="华文仿宋" w:hAnsi="华文仿宋" w:eastAsia="华文仿宋"/>
          <w:b/>
          <w:szCs w:val="24"/>
        </w:rPr>
        <w:t>“标准与规范”</w:t>
      </w:r>
      <w:r>
        <w:rPr>
          <w:rFonts w:ascii="华文仿宋" w:hAnsi="华文仿宋" w:eastAsia="华文仿宋"/>
          <w:szCs w:val="24"/>
        </w:rPr>
        <w:t>指参与制定国家标准、行业/地方标准的数量。</w:t>
      </w:r>
    </w:p>
    <w:p>
      <w:pPr>
        <w:adjustRightInd w:val="0"/>
        <w:snapToGrid w:val="0"/>
        <w:spacing w:after="62" w:afterLines="20" w:line="280" w:lineRule="exact"/>
        <w:ind w:firstLine="420" w:firstLineChars="200"/>
        <w:rPr>
          <w:rFonts w:ascii="华文仿宋" w:hAnsi="华文仿宋" w:eastAsia="华文仿宋"/>
          <w:szCs w:val="24"/>
        </w:rPr>
      </w:pPr>
      <w:r>
        <w:rPr>
          <w:rFonts w:ascii="华文仿宋" w:hAnsi="华文仿宋" w:eastAsia="华文仿宋"/>
          <w:szCs w:val="24"/>
        </w:rPr>
        <w:t>6.</w:t>
      </w:r>
      <w:r>
        <w:rPr>
          <w:rFonts w:ascii="华文仿宋" w:hAnsi="华文仿宋" w:eastAsia="华文仿宋"/>
          <w:b/>
          <w:szCs w:val="24"/>
        </w:rPr>
        <w:t>“代表性研究成果”</w:t>
      </w:r>
      <w:r>
        <w:rPr>
          <w:rFonts w:ascii="华文仿宋" w:hAnsi="华文仿宋" w:eastAsia="华文仿宋"/>
          <w:szCs w:val="24"/>
        </w:rPr>
        <w:t>应是根据科学前沿和国家、行业、区域重大需求所开展的、为促进科学发展或解决关键科技问题以及为国家、行业、区域发展决策提供科技支撑等方面所取得的系列进展，而不是一些关联度不高的研究方向的成果汇总。成果形式包括：论文和专著、标准和规范、发明专利、仪器研发方法创新、政策咨询、基础性工作、工程应用、软件系统，等等。</w:t>
      </w:r>
    </w:p>
    <w:p>
      <w:pPr>
        <w:adjustRightInd w:val="0"/>
        <w:snapToGrid w:val="0"/>
        <w:spacing w:after="62" w:afterLines="20" w:line="280" w:lineRule="exact"/>
        <w:ind w:firstLine="420" w:firstLineChars="200"/>
        <w:rPr>
          <w:rFonts w:ascii="华文仿宋" w:hAnsi="华文仿宋" w:eastAsia="华文仿宋"/>
          <w:szCs w:val="24"/>
        </w:rPr>
      </w:pPr>
      <w:r>
        <w:rPr>
          <w:rFonts w:ascii="华文仿宋" w:hAnsi="华文仿宋" w:eastAsia="华文仿宋"/>
          <w:szCs w:val="24"/>
        </w:rPr>
        <w:t>三、</w:t>
      </w:r>
      <w:r>
        <w:rPr>
          <w:rFonts w:ascii="华文仿宋" w:hAnsi="华文仿宋" w:eastAsia="华文仿宋"/>
          <w:b/>
          <w:szCs w:val="24"/>
        </w:rPr>
        <w:t>“研究队伍建设”</w:t>
      </w:r>
      <w:r>
        <w:rPr>
          <w:rFonts w:ascii="华文仿宋" w:hAnsi="华文仿宋" w:eastAsia="华文仿宋"/>
          <w:szCs w:val="24"/>
        </w:rPr>
        <w:t>栏中：</w:t>
      </w:r>
    </w:p>
    <w:p>
      <w:pPr>
        <w:adjustRightInd w:val="0"/>
        <w:snapToGrid w:val="0"/>
        <w:spacing w:after="62" w:afterLines="20" w:line="280" w:lineRule="exact"/>
        <w:ind w:firstLine="420" w:firstLineChars="200"/>
        <w:rPr>
          <w:rFonts w:ascii="华文仿宋" w:hAnsi="华文仿宋" w:eastAsia="华文仿宋"/>
          <w:szCs w:val="24"/>
        </w:rPr>
      </w:pPr>
      <w:r>
        <w:rPr>
          <w:rFonts w:ascii="华文仿宋" w:hAnsi="华文仿宋" w:eastAsia="华文仿宋"/>
          <w:szCs w:val="24"/>
        </w:rPr>
        <w:t>1.统计的范围包括实验室固定人员和流动人员。固定人员指高等学校聘用的聘期2年以上的全职人员</w:t>
      </w:r>
      <w:r>
        <w:rPr>
          <w:rFonts w:hint="eastAsia" w:ascii="华文仿宋" w:hAnsi="华文仿宋" w:eastAsia="华文仿宋"/>
          <w:szCs w:val="24"/>
        </w:rPr>
        <w:t>，且不得兼任国家重点实验室、其他教育部重点实验室的固定人员</w:t>
      </w:r>
      <w:r>
        <w:rPr>
          <w:rFonts w:ascii="华文仿宋" w:hAnsi="华文仿宋" w:eastAsia="华文仿宋"/>
          <w:szCs w:val="24"/>
        </w:rPr>
        <w:t>；流动人员包括访问学者、博士后研究人员等。</w:t>
      </w:r>
    </w:p>
    <w:p>
      <w:pPr>
        <w:adjustRightInd w:val="0"/>
        <w:snapToGrid w:val="0"/>
        <w:spacing w:after="62" w:afterLines="20" w:line="280" w:lineRule="exact"/>
        <w:ind w:firstLine="420" w:firstLineChars="200"/>
        <w:rPr>
          <w:rFonts w:ascii="华文仿宋" w:hAnsi="华文仿宋" w:eastAsia="华文仿宋"/>
          <w:szCs w:val="24"/>
        </w:rPr>
      </w:pPr>
      <w:r>
        <w:rPr>
          <w:rFonts w:ascii="华文仿宋" w:hAnsi="华文仿宋" w:eastAsia="华文仿宋"/>
          <w:szCs w:val="24"/>
        </w:rPr>
        <w:t>2.</w:t>
      </w:r>
      <w:r>
        <w:rPr>
          <w:rFonts w:ascii="华文仿宋" w:hAnsi="华文仿宋" w:eastAsia="华文仿宋"/>
          <w:b/>
          <w:szCs w:val="24"/>
        </w:rPr>
        <w:t>“40岁以下”</w:t>
      </w:r>
      <w:r>
        <w:rPr>
          <w:rFonts w:ascii="华文仿宋" w:hAnsi="华文仿宋" w:eastAsia="华文仿宋"/>
          <w:szCs w:val="24"/>
        </w:rPr>
        <w:t>是指截至</w:t>
      </w:r>
      <w:r>
        <w:rPr>
          <w:rFonts w:hint="eastAsia" w:ascii="华文仿宋" w:hAnsi="华文仿宋" w:eastAsia="华文仿宋"/>
          <w:szCs w:val="24"/>
        </w:rPr>
        <w:t>2018</w:t>
      </w:r>
      <w:r>
        <w:rPr>
          <w:rFonts w:ascii="华文仿宋" w:hAnsi="华文仿宋" w:eastAsia="华文仿宋"/>
          <w:szCs w:val="24"/>
        </w:rPr>
        <w:t>年12月31日，不超过40周岁。</w:t>
      </w:r>
    </w:p>
    <w:p>
      <w:pPr>
        <w:adjustRightInd w:val="0"/>
        <w:snapToGrid w:val="0"/>
        <w:spacing w:after="62" w:afterLines="20" w:line="280" w:lineRule="exact"/>
        <w:ind w:firstLine="420" w:firstLineChars="200"/>
        <w:rPr>
          <w:rFonts w:ascii="华文仿宋" w:hAnsi="华文仿宋" w:eastAsia="华文仿宋"/>
          <w:szCs w:val="24"/>
        </w:rPr>
      </w:pPr>
      <w:r>
        <w:rPr>
          <w:rFonts w:ascii="华文仿宋" w:hAnsi="华文仿宋" w:eastAsia="华文仿宋"/>
          <w:szCs w:val="24"/>
        </w:rPr>
        <w:t>3.</w:t>
      </w:r>
      <w:r>
        <w:rPr>
          <w:rFonts w:ascii="华文仿宋" w:hAnsi="华文仿宋" w:eastAsia="华文仿宋"/>
          <w:b/>
          <w:szCs w:val="24"/>
        </w:rPr>
        <w:t>“科技人才”</w:t>
      </w:r>
      <w:r>
        <w:rPr>
          <w:rFonts w:ascii="华文仿宋" w:hAnsi="华文仿宋" w:eastAsia="华文仿宋"/>
          <w:szCs w:val="24"/>
        </w:rPr>
        <w:t>和</w:t>
      </w:r>
      <w:r>
        <w:rPr>
          <w:rFonts w:ascii="华文仿宋" w:hAnsi="华文仿宋" w:eastAsia="华文仿宋"/>
          <w:b/>
          <w:szCs w:val="24"/>
        </w:rPr>
        <w:t>“国际学术机构任职”</w:t>
      </w:r>
      <w:r>
        <w:rPr>
          <w:rFonts w:ascii="华文仿宋" w:hAnsi="华文仿宋" w:eastAsia="华文仿宋"/>
          <w:szCs w:val="24"/>
        </w:rPr>
        <w:t>栏，只统计固定人员。</w:t>
      </w:r>
    </w:p>
    <w:p>
      <w:pPr>
        <w:adjustRightInd w:val="0"/>
        <w:snapToGrid w:val="0"/>
        <w:spacing w:after="62" w:afterLines="20" w:line="280" w:lineRule="exact"/>
        <w:ind w:firstLine="420" w:firstLineChars="200"/>
        <w:rPr>
          <w:rFonts w:ascii="华文仿宋" w:hAnsi="华文仿宋" w:eastAsia="华文仿宋"/>
          <w:szCs w:val="24"/>
        </w:rPr>
      </w:pPr>
      <w:r>
        <w:rPr>
          <w:rFonts w:ascii="华文仿宋" w:hAnsi="华文仿宋" w:eastAsia="华文仿宋"/>
          <w:szCs w:val="24"/>
        </w:rPr>
        <w:t>4.</w:t>
      </w:r>
      <w:r>
        <w:rPr>
          <w:rFonts w:ascii="华文仿宋" w:hAnsi="华文仿宋" w:eastAsia="华文仿宋"/>
          <w:b/>
          <w:szCs w:val="24"/>
        </w:rPr>
        <w:t>“国际学术机构任职”</w:t>
      </w:r>
      <w:r>
        <w:rPr>
          <w:rFonts w:ascii="华文仿宋" w:hAnsi="华文仿宋" w:eastAsia="华文仿宋"/>
          <w:szCs w:val="24"/>
        </w:rPr>
        <w:t>指在国际学术组织和学术刊物任职情况。</w:t>
      </w:r>
    </w:p>
    <w:p>
      <w:pPr>
        <w:adjustRightInd w:val="0"/>
        <w:snapToGrid w:val="0"/>
        <w:spacing w:after="62" w:afterLines="20" w:line="280" w:lineRule="exact"/>
        <w:ind w:firstLine="420" w:firstLineChars="200"/>
        <w:rPr>
          <w:rFonts w:ascii="华文仿宋" w:hAnsi="华文仿宋" w:eastAsia="华文仿宋"/>
          <w:szCs w:val="24"/>
        </w:rPr>
      </w:pPr>
      <w:r>
        <w:rPr>
          <w:rFonts w:ascii="华文仿宋" w:hAnsi="华文仿宋" w:eastAsia="华文仿宋"/>
          <w:szCs w:val="24"/>
        </w:rPr>
        <w:t>四、</w:t>
      </w:r>
      <w:r>
        <w:rPr>
          <w:rFonts w:ascii="华文仿宋" w:hAnsi="华文仿宋" w:eastAsia="华文仿宋"/>
          <w:b/>
          <w:szCs w:val="24"/>
        </w:rPr>
        <w:t>“学科发展与人才培养”</w:t>
      </w:r>
      <w:r>
        <w:rPr>
          <w:rFonts w:ascii="华文仿宋" w:hAnsi="华文仿宋" w:eastAsia="华文仿宋"/>
          <w:szCs w:val="24"/>
        </w:rPr>
        <w:t>栏中，与企业/科研院所联合培养和国际联合培养的研究生需培养单位之间签订正式的相关培养协议。</w:t>
      </w:r>
    </w:p>
    <w:p>
      <w:pPr>
        <w:adjustRightInd w:val="0"/>
        <w:snapToGrid w:val="0"/>
        <w:spacing w:after="62" w:afterLines="20" w:line="280" w:lineRule="exact"/>
        <w:ind w:firstLine="420" w:firstLineChars="200"/>
        <w:rPr>
          <w:rFonts w:ascii="华文仿宋" w:hAnsi="华文仿宋" w:eastAsia="华文仿宋"/>
          <w:szCs w:val="24"/>
        </w:rPr>
      </w:pPr>
      <w:r>
        <w:rPr>
          <w:rFonts w:ascii="华文仿宋" w:hAnsi="华文仿宋" w:eastAsia="华文仿宋"/>
          <w:szCs w:val="24"/>
        </w:rPr>
        <w:t>五、</w:t>
      </w:r>
      <w:r>
        <w:rPr>
          <w:rFonts w:ascii="华文仿宋" w:hAnsi="华文仿宋" w:eastAsia="华文仿宋"/>
          <w:b/>
          <w:szCs w:val="24"/>
        </w:rPr>
        <w:t>“开放与运行管理”</w:t>
      </w:r>
      <w:r>
        <w:rPr>
          <w:rFonts w:ascii="华文仿宋" w:hAnsi="华文仿宋" w:eastAsia="华文仿宋"/>
          <w:szCs w:val="24"/>
        </w:rPr>
        <w:t>栏中：</w:t>
      </w:r>
    </w:p>
    <w:p>
      <w:pPr>
        <w:adjustRightInd w:val="0"/>
        <w:snapToGrid w:val="0"/>
        <w:spacing w:after="62" w:afterLines="20" w:line="280" w:lineRule="exact"/>
        <w:ind w:firstLine="420" w:firstLineChars="200"/>
        <w:rPr>
          <w:rFonts w:ascii="华文仿宋" w:hAnsi="华文仿宋" w:eastAsia="华文仿宋"/>
          <w:szCs w:val="24"/>
        </w:rPr>
      </w:pPr>
      <w:r>
        <w:rPr>
          <w:rFonts w:ascii="华文仿宋" w:hAnsi="华文仿宋" w:eastAsia="华文仿宋"/>
          <w:szCs w:val="24"/>
        </w:rPr>
        <w:t>1.</w:t>
      </w:r>
      <w:r>
        <w:rPr>
          <w:rFonts w:ascii="华文仿宋" w:hAnsi="华文仿宋" w:eastAsia="华文仿宋"/>
          <w:b/>
          <w:szCs w:val="24"/>
        </w:rPr>
        <w:t>“承办学术会议”</w:t>
      </w:r>
      <w:r>
        <w:rPr>
          <w:rFonts w:ascii="华文仿宋" w:hAnsi="华文仿宋" w:eastAsia="华文仿宋"/>
          <w:szCs w:val="24"/>
        </w:rPr>
        <w:t>包括国际学术会议和国内学术会议。其中，国内学术会议是指由主管部门或全国性一级学会批准的学术会议。</w:t>
      </w:r>
    </w:p>
    <w:p>
      <w:pPr>
        <w:adjustRightInd w:val="0"/>
        <w:snapToGrid w:val="0"/>
        <w:spacing w:after="62" w:afterLines="20" w:line="280" w:lineRule="exact"/>
        <w:ind w:firstLine="420" w:firstLineChars="200"/>
        <w:rPr>
          <w:rFonts w:eastAsia="仿宋_GB2312"/>
          <w:szCs w:val="24"/>
        </w:rPr>
      </w:pPr>
      <w:r>
        <w:rPr>
          <w:rFonts w:ascii="华文仿宋" w:hAnsi="华文仿宋" w:eastAsia="华文仿宋"/>
          <w:szCs w:val="24"/>
        </w:rPr>
        <w:t>2.</w:t>
      </w:r>
      <w:r>
        <w:rPr>
          <w:rFonts w:ascii="华文仿宋" w:hAnsi="华文仿宋" w:eastAsia="华文仿宋"/>
          <w:b/>
          <w:szCs w:val="24"/>
        </w:rPr>
        <w:t>“国际合作项目”</w:t>
      </w:r>
      <w:r>
        <w:rPr>
          <w:rFonts w:ascii="华文仿宋" w:hAnsi="华文仿宋" w:eastAsia="华文仿宋"/>
          <w:szCs w:val="24"/>
        </w:rPr>
        <w:t>包括实验室承担的自然科学基金委、科技部、外专局等部门主管的国际科技合作项目，参与的国际重大科技合作计划/工程（如：ITER、CERN等）项目研究，以及双方单位之间正式签订协议书的国际合作项目。</w:t>
      </w:r>
    </w:p>
    <w:p>
      <w:pPr>
        <w:adjustRightInd w:val="0"/>
        <w:snapToGrid w:val="0"/>
        <w:spacing w:after="62" w:afterLines="20"/>
        <w:ind w:firstLine="480" w:firstLineChars="200"/>
        <w:rPr>
          <w:rFonts w:eastAsia="黑体"/>
          <w:sz w:val="32"/>
          <w:szCs w:val="24"/>
        </w:rPr>
      </w:pPr>
      <w:r>
        <w:rPr>
          <w:rFonts w:eastAsia="仿宋_GB2312"/>
          <w:sz w:val="24"/>
          <w:szCs w:val="24"/>
        </w:rPr>
        <w:br w:type="page"/>
      </w:r>
      <w:r>
        <w:rPr>
          <w:rFonts w:eastAsia="黑体"/>
          <w:b/>
          <w:sz w:val="32"/>
          <w:szCs w:val="24"/>
        </w:rPr>
        <w:t>一、简表</w:t>
      </w:r>
    </w:p>
    <w:tbl>
      <w:tblPr>
        <w:tblStyle w:val="15"/>
        <w:tblW w:w="9280"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04"/>
        <w:gridCol w:w="1262"/>
        <w:gridCol w:w="896"/>
        <w:gridCol w:w="641"/>
        <w:gridCol w:w="204"/>
        <w:gridCol w:w="508"/>
        <w:gridCol w:w="216"/>
        <w:gridCol w:w="132"/>
        <w:gridCol w:w="843"/>
        <w:gridCol w:w="127"/>
        <w:gridCol w:w="380"/>
        <w:gridCol w:w="498"/>
        <w:gridCol w:w="257"/>
        <w:gridCol w:w="237"/>
        <w:gridCol w:w="189"/>
        <w:gridCol w:w="998"/>
        <w:gridCol w:w="1088"/>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54" w:hRule="atLeast"/>
          <w:jc w:val="center"/>
        </w:trPr>
        <w:tc>
          <w:tcPr>
            <w:tcW w:w="2066" w:type="dxa"/>
            <w:gridSpan w:val="2"/>
            <w:tcMar>
              <w:left w:w="0" w:type="dxa"/>
              <w:right w:w="0" w:type="dxa"/>
            </w:tcMar>
            <w:vAlign w:val="center"/>
          </w:tcPr>
          <w:p>
            <w:pPr>
              <w:widowControl/>
              <w:adjustRightInd w:val="0"/>
              <w:snapToGrid w:val="0"/>
              <w:jc w:val="center"/>
              <w:rPr>
                <w:b/>
                <w:kern w:val="0"/>
                <w:sz w:val="18"/>
                <w:szCs w:val="18"/>
              </w:rPr>
            </w:pPr>
            <w:r>
              <w:rPr>
                <w:b/>
                <w:kern w:val="0"/>
                <w:sz w:val="18"/>
                <w:szCs w:val="18"/>
              </w:rPr>
              <w:t>实验室名称</w:t>
            </w:r>
          </w:p>
        </w:tc>
        <w:tc>
          <w:tcPr>
            <w:tcW w:w="7214" w:type="dxa"/>
            <w:gridSpan w:val="15"/>
            <w:tcBorders>
              <w:bottom w:val="single" w:color="auto" w:sz="2" w:space="0"/>
            </w:tcBorders>
            <w:noWrap/>
            <w:vAlign w:val="center"/>
          </w:tcPr>
          <w:p>
            <w:pPr>
              <w:widowControl/>
              <w:adjustRightInd w:val="0"/>
              <w:snapToGrid w:val="0"/>
              <w:jc w:val="center"/>
              <w:rPr>
                <w:kern w:val="0"/>
                <w:sz w:val="18"/>
                <w:szCs w:val="18"/>
              </w:rPr>
            </w:pPr>
            <w:r>
              <w:rPr>
                <w:rFonts w:hint="eastAsia"/>
                <w:kern w:val="0"/>
                <w:sz w:val="18"/>
                <w:szCs w:val="18"/>
              </w:rPr>
              <w:t>药用资源化学与药物分子工程重点实验室</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54" w:hRule="atLeast"/>
          <w:jc w:val="center"/>
        </w:trPr>
        <w:tc>
          <w:tcPr>
            <w:tcW w:w="2066" w:type="dxa"/>
            <w:gridSpan w:val="2"/>
            <w:vMerge w:val="restart"/>
            <w:tcMar>
              <w:left w:w="0" w:type="dxa"/>
              <w:right w:w="0" w:type="dxa"/>
            </w:tcMar>
            <w:vAlign w:val="center"/>
          </w:tcPr>
          <w:p>
            <w:pPr>
              <w:widowControl/>
              <w:adjustRightInd w:val="0"/>
              <w:snapToGrid w:val="0"/>
              <w:jc w:val="center"/>
              <w:rPr>
                <w:b/>
                <w:kern w:val="0"/>
                <w:sz w:val="18"/>
                <w:szCs w:val="18"/>
              </w:rPr>
            </w:pPr>
            <w:r>
              <w:rPr>
                <w:b/>
                <w:kern w:val="0"/>
                <w:sz w:val="18"/>
                <w:szCs w:val="18"/>
              </w:rPr>
              <w:t>研究方向</w:t>
            </w:r>
          </w:p>
          <w:p>
            <w:pPr>
              <w:widowControl/>
              <w:adjustRightInd w:val="0"/>
              <w:snapToGrid w:val="0"/>
              <w:jc w:val="center"/>
              <w:rPr>
                <w:kern w:val="0"/>
                <w:sz w:val="18"/>
                <w:szCs w:val="18"/>
              </w:rPr>
            </w:pPr>
            <w:r>
              <w:rPr>
                <w:kern w:val="0"/>
                <w:sz w:val="18"/>
                <w:szCs w:val="18"/>
              </w:rPr>
              <w:t>(据实增删)</w:t>
            </w:r>
          </w:p>
        </w:tc>
        <w:tc>
          <w:tcPr>
            <w:tcW w:w="1741" w:type="dxa"/>
            <w:gridSpan w:val="3"/>
            <w:tcBorders>
              <w:top w:val="single" w:color="auto" w:sz="2" w:space="0"/>
              <w:bottom w:val="single" w:color="auto" w:sz="2" w:space="0"/>
              <w:right w:val="single" w:color="auto" w:sz="4" w:space="0"/>
            </w:tcBorders>
            <w:noWrap/>
            <w:vAlign w:val="center"/>
          </w:tcPr>
          <w:p>
            <w:pPr>
              <w:widowControl/>
              <w:adjustRightInd w:val="0"/>
              <w:snapToGrid w:val="0"/>
              <w:jc w:val="center"/>
              <w:rPr>
                <w:kern w:val="0"/>
                <w:sz w:val="18"/>
                <w:szCs w:val="18"/>
              </w:rPr>
            </w:pPr>
            <w:r>
              <w:rPr>
                <w:kern w:val="0"/>
                <w:sz w:val="18"/>
                <w:szCs w:val="18"/>
              </w:rPr>
              <w:t>研究方向1</w:t>
            </w:r>
          </w:p>
        </w:tc>
        <w:tc>
          <w:tcPr>
            <w:tcW w:w="5473" w:type="dxa"/>
            <w:gridSpan w:val="12"/>
            <w:tcBorders>
              <w:top w:val="single" w:color="auto" w:sz="2" w:space="0"/>
              <w:bottom w:val="single" w:color="auto" w:sz="2" w:space="0"/>
              <w:right w:val="single" w:color="auto" w:sz="12" w:space="0"/>
            </w:tcBorders>
            <w:vAlign w:val="center"/>
          </w:tcPr>
          <w:p>
            <w:pPr>
              <w:adjustRightInd w:val="0"/>
              <w:snapToGrid w:val="0"/>
              <w:jc w:val="left"/>
              <w:rPr>
                <w:kern w:val="0"/>
                <w:sz w:val="18"/>
                <w:szCs w:val="18"/>
              </w:rPr>
            </w:pPr>
            <w:r>
              <w:rPr>
                <w:rFonts w:hint="eastAsia"/>
                <w:kern w:val="0"/>
                <w:sz w:val="18"/>
                <w:szCs w:val="18"/>
              </w:rPr>
              <w:t>药用资源的药效物质基础与作用机制</w:t>
            </w:r>
          </w:p>
        </w:tc>
      </w:tr>
      <w:tr>
        <w:tblPrEx>
          <w:tblLayout w:type="fixed"/>
          <w:tblCellMar>
            <w:top w:w="0" w:type="dxa"/>
            <w:left w:w="108" w:type="dxa"/>
            <w:bottom w:w="0" w:type="dxa"/>
            <w:right w:w="108" w:type="dxa"/>
          </w:tblCellMar>
        </w:tblPrEx>
        <w:trPr>
          <w:trHeight w:val="454" w:hRule="atLeast"/>
          <w:jc w:val="center"/>
        </w:trPr>
        <w:tc>
          <w:tcPr>
            <w:tcW w:w="2066" w:type="dxa"/>
            <w:gridSpan w:val="2"/>
            <w:vMerge w:val="continue"/>
            <w:tcMar>
              <w:left w:w="0" w:type="dxa"/>
              <w:right w:w="0" w:type="dxa"/>
            </w:tcMar>
            <w:vAlign w:val="center"/>
          </w:tcPr>
          <w:p>
            <w:pPr>
              <w:widowControl/>
              <w:adjustRightInd w:val="0"/>
              <w:snapToGrid w:val="0"/>
              <w:jc w:val="center"/>
              <w:rPr>
                <w:b/>
                <w:kern w:val="0"/>
                <w:sz w:val="18"/>
                <w:szCs w:val="18"/>
              </w:rPr>
            </w:pPr>
          </w:p>
        </w:tc>
        <w:tc>
          <w:tcPr>
            <w:tcW w:w="1741" w:type="dxa"/>
            <w:gridSpan w:val="3"/>
            <w:tcBorders>
              <w:top w:val="single" w:color="auto" w:sz="2" w:space="0"/>
              <w:bottom w:val="single" w:color="auto" w:sz="2" w:space="0"/>
              <w:right w:val="single" w:color="auto" w:sz="4" w:space="0"/>
            </w:tcBorders>
            <w:noWrap/>
            <w:vAlign w:val="center"/>
          </w:tcPr>
          <w:p>
            <w:pPr>
              <w:widowControl/>
              <w:adjustRightInd w:val="0"/>
              <w:snapToGrid w:val="0"/>
              <w:jc w:val="center"/>
              <w:rPr>
                <w:kern w:val="0"/>
                <w:sz w:val="18"/>
                <w:szCs w:val="18"/>
              </w:rPr>
            </w:pPr>
            <w:r>
              <w:rPr>
                <w:kern w:val="0"/>
                <w:sz w:val="18"/>
                <w:szCs w:val="18"/>
              </w:rPr>
              <w:t>研究方向2</w:t>
            </w:r>
          </w:p>
        </w:tc>
        <w:tc>
          <w:tcPr>
            <w:tcW w:w="5473" w:type="dxa"/>
            <w:gridSpan w:val="12"/>
            <w:tcBorders>
              <w:top w:val="single" w:color="auto" w:sz="2" w:space="0"/>
              <w:bottom w:val="single" w:color="auto" w:sz="2" w:space="0"/>
              <w:right w:val="single" w:color="auto" w:sz="12" w:space="0"/>
            </w:tcBorders>
            <w:vAlign w:val="center"/>
          </w:tcPr>
          <w:p>
            <w:pPr>
              <w:widowControl/>
              <w:adjustRightInd w:val="0"/>
              <w:snapToGrid w:val="0"/>
              <w:jc w:val="left"/>
              <w:rPr>
                <w:kern w:val="0"/>
                <w:sz w:val="18"/>
                <w:szCs w:val="18"/>
              </w:rPr>
            </w:pPr>
            <w:r>
              <w:rPr>
                <w:rFonts w:hint="eastAsia"/>
                <w:kern w:val="0"/>
                <w:sz w:val="18"/>
                <w:szCs w:val="18"/>
              </w:rPr>
              <w:t>药用资源活性先导物及其金属药物化学</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54" w:hRule="atLeast"/>
          <w:jc w:val="center"/>
        </w:trPr>
        <w:tc>
          <w:tcPr>
            <w:tcW w:w="2066" w:type="dxa"/>
            <w:gridSpan w:val="2"/>
            <w:vMerge w:val="continue"/>
            <w:tcMar>
              <w:left w:w="0" w:type="dxa"/>
              <w:right w:w="0" w:type="dxa"/>
            </w:tcMar>
            <w:vAlign w:val="center"/>
          </w:tcPr>
          <w:p>
            <w:pPr>
              <w:widowControl/>
              <w:adjustRightInd w:val="0"/>
              <w:snapToGrid w:val="0"/>
              <w:jc w:val="center"/>
              <w:rPr>
                <w:b/>
                <w:kern w:val="0"/>
                <w:sz w:val="18"/>
                <w:szCs w:val="18"/>
              </w:rPr>
            </w:pPr>
          </w:p>
        </w:tc>
        <w:tc>
          <w:tcPr>
            <w:tcW w:w="1741" w:type="dxa"/>
            <w:gridSpan w:val="3"/>
            <w:tcBorders>
              <w:top w:val="single" w:color="auto" w:sz="2" w:space="0"/>
              <w:bottom w:val="single" w:color="auto" w:sz="2" w:space="0"/>
              <w:right w:val="single" w:color="auto" w:sz="4" w:space="0"/>
            </w:tcBorders>
            <w:noWrap/>
            <w:vAlign w:val="center"/>
          </w:tcPr>
          <w:p>
            <w:pPr>
              <w:widowControl/>
              <w:adjustRightInd w:val="0"/>
              <w:snapToGrid w:val="0"/>
              <w:jc w:val="center"/>
              <w:rPr>
                <w:kern w:val="0"/>
                <w:sz w:val="18"/>
                <w:szCs w:val="18"/>
              </w:rPr>
            </w:pPr>
            <w:r>
              <w:rPr>
                <w:kern w:val="0"/>
                <w:sz w:val="18"/>
                <w:szCs w:val="18"/>
              </w:rPr>
              <w:t>研究方向3</w:t>
            </w:r>
          </w:p>
        </w:tc>
        <w:tc>
          <w:tcPr>
            <w:tcW w:w="5473" w:type="dxa"/>
            <w:gridSpan w:val="12"/>
            <w:tcBorders>
              <w:top w:val="single" w:color="auto" w:sz="2" w:space="0"/>
              <w:bottom w:val="single" w:color="auto" w:sz="2" w:space="0"/>
              <w:right w:val="single" w:color="auto" w:sz="12" w:space="0"/>
            </w:tcBorders>
            <w:vAlign w:val="center"/>
          </w:tcPr>
          <w:p>
            <w:pPr>
              <w:widowControl/>
              <w:adjustRightInd w:val="0"/>
              <w:snapToGrid w:val="0"/>
              <w:jc w:val="left"/>
              <w:rPr>
                <w:kern w:val="0"/>
                <w:sz w:val="18"/>
                <w:szCs w:val="18"/>
              </w:rPr>
            </w:pPr>
            <w:r>
              <w:rPr>
                <w:rFonts w:hint="eastAsia"/>
                <w:kern w:val="0"/>
                <w:sz w:val="18"/>
                <w:szCs w:val="18"/>
              </w:rPr>
              <w:t>药用资源药效物质转运系统与药物载体</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54" w:hRule="atLeast"/>
          <w:jc w:val="center"/>
        </w:trPr>
        <w:tc>
          <w:tcPr>
            <w:tcW w:w="804" w:type="dxa"/>
            <w:vMerge w:val="restart"/>
            <w:tcMar>
              <w:left w:w="0" w:type="dxa"/>
              <w:right w:w="0" w:type="dxa"/>
            </w:tcMar>
            <w:vAlign w:val="center"/>
          </w:tcPr>
          <w:p>
            <w:pPr>
              <w:widowControl/>
              <w:adjustRightInd w:val="0"/>
              <w:snapToGrid w:val="0"/>
              <w:jc w:val="center"/>
              <w:rPr>
                <w:b/>
                <w:kern w:val="0"/>
                <w:sz w:val="18"/>
                <w:szCs w:val="18"/>
              </w:rPr>
            </w:pPr>
            <w:r>
              <w:rPr>
                <w:b/>
                <w:kern w:val="0"/>
                <w:sz w:val="18"/>
                <w:szCs w:val="18"/>
              </w:rPr>
              <w:t>实验室</w:t>
            </w:r>
          </w:p>
          <w:p>
            <w:pPr>
              <w:adjustRightInd w:val="0"/>
              <w:snapToGrid w:val="0"/>
              <w:jc w:val="center"/>
              <w:rPr>
                <w:b/>
                <w:kern w:val="0"/>
                <w:sz w:val="18"/>
                <w:szCs w:val="18"/>
              </w:rPr>
            </w:pPr>
            <w:r>
              <w:rPr>
                <w:b/>
                <w:kern w:val="0"/>
                <w:sz w:val="18"/>
                <w:szCs w:val="18"/>
              </w:rPr>
              <w:t>主任</w:t>
            </w:r>
          </w:p>
        </w:tc>
        <w:tc>
          <w:tcPr>
            <w:tcW w:w="1262" w:type="dxa"/>
            <w:noWrap/>
            <w:vAlign w:val="center"/>
          </w:tcPr>
          <w:p>
            <w:pPr>
              <w:widowControl/>
              <w:adjustRightInd w:val="0"/>
              <w:snapToGrid w:val="0"/>
              <w:jc w:val="center"/>
              <w:rPr>
                <w:kern w:val="0"/>
                <w:sz w:val="18"/>
                <w:szCs w:val="18"/>
              </w:rPr>
            </w:pPr>
            <w:r>
              <w:rPr>
                <w:kern w:val="0"/>
                <w:sz w:val="18"/>
                <w:szCs w:val="18"/>
              </w:rPr>
              <w:t>姓名</w:t>
            </w:r>
          </w:p>
        </w:tc>
        <w:tc>
          <w:tcPr>
            <w:tcW w:w="1741" w:type="dxa"/>
            <w:gridSpan w:val="3"/>
            <w:tcBorders>
              <w:top w:val="single" w:color="auto" w:sz="2" w:space="0"/>
            </w:tcBorders>
            <w:noWrap/>
            <w:vAlign w:val="center"/>
          </w:tcPr>
          <w:p>
            <w:pPr>
              <w:widowControl/>
              <w:adjustRightInd w:val="0"/>
              <w:snapToGrid w:val="0"/>
              <w:jc w:val="center"/>
              <w:rPr>
                <w:kern w:val="0"/>
                <w:sz w:val="18"/>
                <w:szCs w:val="18"/>
              </w:rPr>
            </w:pPr>
            <w:r>
              <w:rPr>
                <w:kern w:val="0"/>
                <w:sz w:val="18"/>
                <w:szCs w:val="18"/>
              </w:rPr>
              <w:t>梁宏</w:t>
            </w:r>
          </w:p>
        </w:tc>
        <w:tc>
          <w:tcPr>
            <w:tcW w:w="1699" w:type="dxa"/>
            <w:gridSpan w:val="4"/>
            <w:tcBorders>
              <w:top w:val="single" w:color="auto" w:sz="2" w:space="0"/>
            </w:tcBorders>
            <w:noWrap/>
            <w:vAlign w:val="center"/>
          </w:tcPr>
          <w:p>
            <w:pPr>
              <w:widowControl/>
              <w:adjustRightInd w:val="0"/>
              <w:snapToGrid w:val="0"/>
              <w:jc w:val="center"/>
              <w:rPr>
                <w:kern w:val="0"/>
                <w:sz w:val="18"/>
                <w:szCs w:val="18"/>
              </w:rPr>
            </w:pPr>
            <w:r>
              <w:rPr>
                <w:kern w:val="0"/>
                <w:sz w:val="18"/>
                <w:szCs w:val="18"/>
              </w:rPr>
              <w:t>研究方向</w:t>
            </w:r>
          </w:p>
        </w:tc>
        <w:tc>
          <w:tcPr>
            <w:tcW w:w="3774" w:type="dxa"/>
            <w:gridSpan w:val="8"/>
            <w:tcBorders>
              <w:top w:val="single" w:color="auto" w:sz="2" w:space="0"/>
            </w:tcBorders>
            <w:noWrap/>
            <w:vAlign w:val="center"/>
          </w:tcPr>
          <w:p>
            <w:pPr>
              <w:widowControl/>
              <w:adjustRightInd w:val="0"/>
              <w:snapToGrid w:val="0"/>
              <w:jc w:val="center"/>
              <w:rPr>
                <w:kern w:val="0"/>
                <w:sz w:val="18"/>
                <w:szCs w:val="18"/>
              </w:rPr>
            </w:pPr>
            <w:r>
              <w:rPr>
                <w:kern w:val="0"/>
                <w:sz w:val="18"/>
                <w:szCs w:val="18"/>
              </w:rPr>
              <w:t>生物无机化学与无机药物化学</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54" w:hRule="atLeast"/>
          <w:jc w:val="center"/>
        </w:trPr>
        <w:tc>
          <w:tcPr>
            <w:tcW w:w="804" w:type="dxa"/>
            <w:vMerge w:val="continue"/>
            <w:tcMar>
              <w:left w:w="0" w:type="dxa"/>
              <w:right w:w="0" w:type="dxa"/>
            </w:tcMar>
            <w:vAlign w:val="center"/>
          </w:tcPr>
          <w:p>
            <w:pPr>
              <w:widowControl/>
              <w:adjustRightInd w:val="0"/>
              <w:snapToGrid w:val="0"/>
              <w:jc w:val="center"/>
              <w:rPr>
                <w:b/>
                <w:kern w:val="0"/>
                <w:sz w:val="18"/>
                <w:szCs w:val="18"/>
              </w:rPr>
            </w:pPr>
          </w:p>
        </w:tc>
        <w:tc>
          <w:tcPr>
            <w:tcW w:w="1262" w:type="dxa"/>
            <w:noWrap/>
            <w:vAlign w:val="center"/>
          </w:tcPr>
          <w:p>
            <w:pPr>
              <w:widowControl/>
              <w:adjustRightInd w:val="0"/>
              <w:snapToGrid w:val="0"/>
              <w:jc w:val="center"/>
              <w:rPr>
                <w:kern w:val="0"/>
                <w:sz w:val="18"/>
                <w:szCs w:val="18"/>
              </w:rPr>
            </w:pPr>
            <w:r>
              <w:rPr>
                <w:kern w:val="0"/>
                <w:sz w:val="18"/>
                <w:szCs w:val="18"/>
              </w:rPr>
              <w:t>出生日期</w:t>
            </w:r>
          </w:p>
        </w:tc>
        <w:tc>
          <w:tcPr>
            <w:tcW w:w="1741" w:type="dxa"/>
            <w:gridSpan w:val="3"/>
            <w:noWrap/>
            <w:vAlign w:val="center"/>
          </w:tcPr>
          <w:p>
            <w:pPr>
              <w:widowControl/>
              <w:adjustRightInd w:val="0"/>
              <w:snapToGrid w:val="0"/>
              <w:jc w:val="center"/>
              <w:rPr>
                <w:kern w:val="0"/>
                <w:sz w:val="18"/>
                <w:szCs w:val="18"/>
              </w:rPr>
            </w:pPr>
            <w:r>
              <w:rPr>
                <w:kern w:val="0"/>
                <w:sz w:val="18"/>
                <w:szCs w:val="18"/>
              </w:rPr>
              <w:t>1964-12</w:t>
            </w:r>
          </w:p>
        </w:tc>
        <w:tc>
          <w:tcPr>
            <w:tcW w:w="1699" w:type="dxa"/>
            <w:gridSpan w:val="4"/>
            <w:noWrap/>
            <w:vAlign w:val="center"/>
          </w:tcPr>
          <w:p>
            <w:pPr>
              <w:widowControl/>
              <w:adjustRightInd w:val="0"/>
              <w:snapToGrid w:val="0"/>
              <w:jc w:val="center"/>
              <w:rPr>
                <w:kern w:val="0"/>
                <w:sz w:val="18"/>
                <w:szCs w:val="18"/>
              </w:rPr>
            </w:pPr>
            <w:r>
              <w:rPr>
                <w:kern w:val="0"/>
                <w:sz w:val="18"/>
                <w:szCs w:val="18"/>
              </w:rPr>
              <w:t>职称</w:t>
            </w:r>
          </w:p>
        </w:tc>
        <w:tc>
          <w:tcPr>
            <w:tcW w:w="1005" w:type="dxa"/>
            <w:gridSpan w:val="3"/>
            <w:noWrap/>
            <w:vAlign w:val="center"/>
          </w:tcPr>
          <w:p>
            <w:pPr>
              <w:widowControl/>
              <w:adjustRightInd w:val="0"/>
              <w:snapToGrid w:val="0"/>
              <w:jc w:val="center"/>
              <w:rPr>
                <w:kern w:val="0"/>
                <w:sz w:val="18"/>
                <w:szCs w:val="18"/>
              </w:rPr>
            </w:pPr>
            <w:r>
              <w:rPr>
                <w:kern w:val="0"/>
                <w:sz w:val="18"/>
                <w:szCs w:val="18"/>
              </w:rPr>
              <w:t>教授</w:t>
            </w:r>
          </w:p>
        </w:tc>
        <w:tc>
          <w:tcPr>
            <w:tcW w:w="1681" w:type="dxa"/>
            <w:gridSpan w:val="4"/>
            <w:noWrap/>
            <w:vAlign w:val="center"/>
          </w:tcPr>
          <w:p>
            <w:pPr>
              <w:widowControl/>
              <w:adjustRightInd w:val="0"/>
              <w:snapToGrid w:val="0"/>
              <w:jc w:val="center"/>
              <w:rPr>
                <w:kern w:val="0"/>
                <w:sz w:val="18"/>
                <w:szCs w:val="18"/>
              </w:rPr>
            </w:pPr>
            <w:r>
              <w:rPr>
                <w:kern w:val="0"/>
                <w:sz w:val="18"/>
                <w:szCs w:val="18"/>
              </w:rPr>
              <w:t>任职时间</w:t>
            </w:r>
          </w:p>
        </w:tc>
        <w:tc>
          <w:tcPr>
            <w:tcW w:w="1088" w:type="dxa"/>
            <w:noWrap/>
            <w:vAlign w:val="center"/>
          </w:tcPr>
          <w:p>
            <w:pPr>
              <w:widowControl/>
              <w:adjustRightInd w:val="0"/>
              <w:snapToGrid w:val="0"/>
              <w:jc w:val="center"/>
              <w:rPr>
                <w:kern w:val="0"/>
                <w:sz w:val="18"/>
                <w:szCs w:val="18"/>
              </w:rPr>
            </w:pPr>
            <w:r>
              <w:rPr>
                <w:rFonts w:hint="eastAsia"/>
                <w:kern w:val="0"/>
                <w:sz w:val="18"/>
                <w:szCs w:val="18"/>
              </w:rPr>
              <w:t>2008-至今</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54" w:hRule="atLeast"/>
          <w:jc w:val="center"/>
        </w:trPr>
        <w:tc>
          <w:tcPr>
            <w:tcW w:w="804" w:type="dxa"/>
            <w:vMerge w:val="restart"/>
            <w:tcMar>
              <w:left w:w="0" w:type="dxa"/>
              <w:right w:w="0" w:type="dxa"/>
            </w:tcMar>
            <w:vAlign w:val="center"/>
          </w:tcPr>
          <w:p>
            <w:pPr>
              <w:widowControl/>
              <w:adjustRightInd w:val="0"/>
              <w:snapToGrid w:val="0"/>
              <w:jc w:val="center"/>
              <w:rPr>
                <w:b/>
                <w:kern w:val="0"/>
                <w:sz w:val="18"/>
                <w:szCs w:val="18"/>
              </w:rPr>
            </w:pPr>
            <w:r>
              <w:rPr>
                <w:b/>
                <w:kern w:val="0"/>
                <w:sz w:val="18"/>
                <w:szCs w:val="18"/>
              </w:rPr>
              <w:t>实验室</w:t>
            </w:r>
          </w:p>
          <w:p>
            <w:pPr>
              <w:widowControl/>
              <w:adjustRightInd w:val="0"/>
              <w:snapToGrid w:val="0"/>
              <w:jc w:val="center"/>
              <w:rPr>
                <w:b/>
                <w:kern w:val="0"/>
                <w:sz w:val="18"/>
                <w:szCs w:val="18"/>
              </w:rPr>
            </w:pPr>
            <w:r>
              <w:rPr>
                <w:b/>
                <w:kern w:val="0"/>
                <w:sz w:val="18"/>
                <w:szCs w:val="18"/>
              </w:rPr>
              <w:t>副主任</w:t>
            </w:r>
          </w:p>
          <w:p>
            <w:pPr>
              <w:adjustRightInd w:val="0"/>
              <w:snapToGrid w:val="0"/>
              <w:jc w:val="center"/>
              <w:rPr>
                <w:b/>
                <w:kern w:val="0"/>
                <w:sz w:val="18"/>
                <w:szCs w:val="18"/>
              </w:rPr>
            </w:pPr>
            <w:r>
              <w:rPr>
                <w:kern w:val="0"/>
                <w:sz w:val="18"/>
                <w:szCs w:val="18"/>
              </w:rPr>
              <w:t>(据实增删)</w:t>
            </w:r>
          </w:p>
        </w:tc>
        <w:tc>
          <w:tcPr>
            <w:tcW w:w="1262" w:type="dxa"/>
            <w:noWrap/>
            <w:vAlign w:val="center"/>
          </w:tcPr>
          <w:p>
            <w:pPr>
              <w:widowControl/>
              <w:adjustRightInd w:val="0"/>
              <w:snapToGrid w:val="0"/>
              <w:jc w:val="center"/>
              <w:rPr>
                <w:kern w:val="0"/>
                <w:sz w:val="18"/>
                <w:szCs w:val="18"/>
              </w:rPr>
            </w:pPr>
            <w:r>
              <w:rPr>
                <w:kern w:val="0"/>
                <w:sz w:val="18"/>
                <w:szCs w:val="18"/>
              </w:rPr>
              <w:t>姓名</w:t>
            </w:r>
          </w:p>
        </w:tc>
        <w:tc>
          <w:tcPr>
            <w:tcW w:w="1741" w:type="dxa"/>
            <w:gridSpan w:val="3"/>
            <w:noWrap/>
            <w:vAlign w:val="center"/>
          </w:tcPr>
          <w:p>
            <w:pPr>
              <w:widowControl/>
              <w:adjustRightInd w:val="0"/>
              <w:snapToGrid w:val="0"/>
              <w:jc w:val="center"/>
              <w:rPr>
                <w:kern w:val="0"/>
                <w:sz w:val="18"/>
                <w:szCs w:val="18"/>
              </w:rPr>
            </w:pPr>
            <w:r>
              <w:rPr>
                <w:kern w:val="0"/>
                <w:sz w:val="18"/>
                <w:szCs w:val="18"/>
              </w:rPr>
              <w:t>陈振锋</w:t>
            </w:r>
          </w:p>
        </w:tc>
        <w:tc>
          <w:tcPr>
            <w:tcW w:w="1699" w:type="dxa"/>
            <w:gridSpan w:val="4"/>
            <w:noWrap/>
            <w:vAlign w:val="center"/>
          </w:tcPr>
          <w:p>
            <w:pPr>
              <w:widowControl/>
              <w:adjustRightInd w:val="0"/>
              <w:snapToGrid w:val="0"/>
              <w:jc w:val="center"/>
              <w:rPr>
                <w:kern w:val="0"/>
                <w:sz w:val="18"/>
                <w:szCs w:val="18"/>
              </w:rPr>
            </w:pPr>
            <w:r>
              <w:rPr>
                <w:kern w:val="0"/>
                <w:sz w:val="18"/>
                <w:szCs w:val="18"/>
              </w:rPr>
              <w:t>研究方向</w:t>
            </w:r>
          </w:p>
        </w:tc>
        <w:tc>
          <w:tcPr>
            <w:tcW w:w="3774" w:type="dxa"/>
            <w:gridSpan w:val="8"/>
            <w:noWrap/>
            <w:vAlign w:val="center"/>
          </w:tcPr>
          <w:p>
            <w:pPr>
              <w:widowControl/>
              <w:adjustRightInd w:val="0"/>
              <w:snapToGrid w:val="0"/>
              <w:jc w:val="center"/>
              <w:rPr>
                <w:kern w:val="0"/>
                <w:sz w:val="18"/>
                <w:szCs w:val="18"/>
              </w:rPr>
            </w:pPr>
            <w:r>
              <w:rPr>
                <w:kern w:val="0"/>
                <w:sz w:val="18"/>
                <w:szCs w:val="18"/>
              </w:rPr>
              <w:t>无机药物化学</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54" w:hRule="atLeast"/>
          <w:jc w:val="center"/>
        </w:trPr>
        <w:tc>
          <w:tcPr>
            <w:tcW w:w="804" w:type="dxa"/>
            <w:vMerge w:val="continue"/>
            <w:tcMar>
              <w:left w:w="0" w:type="dxa"/>
              <w:right w:w="0" w:type="dxa"/>
            </w:tcMar>
            <w:vAlign w:val="center"/>
          </w:tcPr>
          <w:p>
            <w:pPr>
              <w:adjustRightInd w:val="0"/>
              <w:snapToGrid w:val="0"/>
              <w:jc w:val="center"/>
              <w:rPr>
                <w:b/>
                <w:kern w:val="0"/>
                <w:sz w:val="18"/>
                <w:szCs w:val="18"/>
              </w:rPr>
            </w:pPr>
          </w:p>
        </w:tc>
        <w:tc>
          <w:tcPr>
            <w:tcW w:w="1262" w:type="dxa"/>
            <w:noWrap/>
            <w:vAlign w:val="center"/>
          </w:tcPr>
          <w:p>
            <w:pPr>
              <w:widowControl/>
              <w:adjustRightInd w:val="0"/>
              <w:snapToGrid w:val="0"/>
              <w:jc w:val="center"/>
              <w:rPr>
                <w:kern w:val="0"/>
                <w:sz w:val="18"/>
                <w:szCs w:val="18"/>
              </w:rPr>
            </w:pPr>
            <w:r>
              <w:rPr>
                <w:kern w:val="0"/>
                <w:sz w:val="18"/>
                <w:szCs w:val="18"/>
              </w:rPr>
              <w:t>出生日期</w:t>
            </w:r>
          </w:p>
        </w:tc>
        <w:tc>
          <w:tcPr>
            <w:tcW w:w="1741" w:type="dxa"/>
            <w:gridSpan w:val="3"/>
            <w:noWrap/>
            <w:vAlign w:val="center"/>
          </w:tcPr>
          <w:p>
            <w:pPr>
              <w:widowControl/>
              <w:adjustRightInd w:val="0"/>
              <w:snapToGrid w:val="0"/>
              <w:jc w:val="center"/>
              <w:rPr>
                <w:kern w:val="0"/>
                <w:sz w:val="18"/>
                <w:szCs w:val="18"/>
              </w:rPr>
            </w:pPr>
            <w:r>
              <w:rPr>
                <w:rFonts w:hint="eastAsia"/>
                <w:kern w:val="0"/>
                <w:sz w:val="18"/>
                <w:szCs w:val="18"/>
              </w:rPr>
              <w:t>1969-11</w:t>
            </w:r>
          </w:p>
        </w:tc>
        <w:tc>
          <w:tcPr>
            <w:tcW w:w="1699" w:type="dxa"/>
            <w:gridSpan w:val="4"/>
            <w:noWrap/>
            <w:vAlign w:val="center"/>
          </w:tcPr>
          <w:p>
            <w:pPr>
              <w:widowControl/>
              <w:adjustRightInd w:val="0"/>
              <w:snapToGrid w:val="0"/>
              <w:jc w:val="center"/>
              <w:rPr>
                <w:kern w:val="0"/>
                <w:sz w:val="18"/>
                <w:szCs w:val="18"/>
              </w:rPr>
            </w:pPr>
            <w:r>
              <w:rPr>
                <w:kern w:val="0"/>
                <w:sz w:val="18"/>
                <w:szCs w:val="18"/>
              </w:rPr>
              <w:t>职称</w:t>
            </w:r>
          </w:p>
        </w:tc>
        <w:tc>
          <w:tcPr>
            <w:tcW w:w="1005" w:type="dxa"/>
            <w:gridSpan w:val="3"/>
            <w:noWrap/>
            <w:vAlign w:val="center"/>
          </w:tcPr>
          <w:p>
            <w:pPr>
              <w:widowControl/>
              <w:adjustRightInd w:val="0"/>
              <w:snapToGrid w:val="0"/>
              <w:jc w:val="center"/>
              <w:rPr>
                <w:kern w:val="0"/>
                <w:sz w:val="18"/>
                <w:szCs w:val="18"/>
              </w:rPr>
            </w:pPr>
            <w:r>
              <w:rPr>
                <w:kern w:val="0"/>
                <w:sz w:val="18"/>
                <w:szCs w:val="18"/>
              </w:rPr>
              <w:t>教授</w:t>
            </w:r>
          </w:p>
        </w:tc>
        <w:tc>
          <w:tcPr>
            <w:tcW w:w="1681" w:type="dxa"/>
            <w:gridSpan w:val="4"/>
            <w:noWrap/>
            <w:vAlign w:val="center"/>
          </w:tcPr>
          <w:p>
            <w:pPr>
              <w:widowControl/>
              <w:adjustRightInd w:val="0"/>
              <w:snapToGrid w:val="0"/>
              <w:jc w:val="center"/>
              <w:rPr>
                <w:kern w:val="0"/>
                <w:sz w:val="18"/>
                <w:szCs w:val="18"/>
              </w:rPr>
            </w:pPr>
            <w:r>
              <w:rPr>
                <w:kern w:val="0"/>
                <w:sz w:val="18"/>
                <w:szCs w:val="18"/>
              </w:rPr>
              <w:t>任职时间</w:t>
            </w:r>
          </w:p>
        </w:tc>
        <w:tc>
          <w:tcPr>
            <w:tcW w:w="1088" w:type="dxa"/>
            <w:noWrap/>
            <w:vAlign w:val="center"/>
          </w:tcPr>
          <w:p>
            <w:pPr>
              <w:widowControl/>
              <w:adjustRightInd w:val="0"/>
              <w:snapToGrid w:val="0"/>
              <w:jc w:val="center"/>
              <w:rPr>
                <w:kern w:val="0"/>
                <w:sz w:val="18"/>
                <w:szCs w:val="18"/>
              </w:rPr>
            </w:pPr>
            <w:r>
              <w:rPr>
                <w:rFonts w:hint="eastAsia"/>
                <w:kern w:val="0"/>
                <w:sz w:val="18"/>
                <w:szCs w:val="18"/>
              </w:rPr>
              <w:t>2008-至今</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54" w:hRule="atLeast"/>
          <w:jc w:val="center"/>
        </w:trPr>
        <w:tc>
          <w:tcPr>
            <w:tcW w:w="804" w:type="dxa"/>
            <w:vMerge w:val="continue"/>
            <w:tcMar>
              <w:left w:w="0" w:type="dxa"/>
              <w:right w:w="0" w:type="dxa"/>
            </w:tcMar>
            <w:vAlign w:val="center"/>
          </w:tcPr>
          <w:p>
            <w:pPr>
              <w:adjustRightInd w:val="0"/>
              <w:snapToGrid w:val="0"/>
              <w:jc w:val="center"/>
              <w:rPr>
                <w:b/>
                <w:kern w:val="0"/>
                <w:sz w:val="18"/>
                <w:szCs w:val="18"/>
              </w:rPr>
            </w:pPr>
          </w:p>
        </w:tc>
        <w:tc>
          <w:tcPr>
            <w:tcW w:w="1262" w:type="dxa"/>
            <w:noWrap/>
            <w:vAlign w:val="center"/>
          </w:tcPr>
          <w:p>
            <w:pPr>
              <w:widowControl/>
              <w:adjustRightInd w:val="0"/>
              <w:snapToGrid w:val="0"/>
              <w:jc w:val="center"/>
              <w:rPr>
                <w:kern w:val="0"/>
                <w:sz w:val="18"/>
                <w:szCs w:val="18"/>
              </w:rPr>
            </w:pPr>
            <w:r>
              <w:rPr>
                <w:kern w:val="0"/>
                <w:sz w:val="18"/>
                <w:szCs w:val="18"/>
              </w:rPr>
              <w:t>姓名</w:t>
            </w:r>
          </w:p>
        </w:tc>
        <w:tc>
          <w:tcPr>
            <w:tcW w:w="1741" w:type="dxa"/>
            <w:gridSpan w:val="3"/>
            <w:noWrap/>
            <w:vAlign w:val="center"/>
          </w:tcPr>
          <w:p>
            <w:pPr>
              <w:widowControl/>
              <w:adjustRightInd w:val="0"/>
              <w:snapToGrid w:val="0"/>
              <w:jc w:val="center"/>
              <w:rPr>
                <w:kern w:val="0"/>
                <w:sz w:val="18"/>
                <w:szCs w:val="18"/>
              </w:rPr>
            </w:pPr>
            <w:r>
              <w:rPr>
                <w:kern w:val="0"/>
                <w:sz w:val="18"/>
                <w:szCs w:val="18"/>
              </w:rPr>
              <w:t>沈星灿</w:t>
            </w:r>
          </w:p>
        </w:tc>
        <w:tc>
          <w:tcPr>
            <w:tcW w:w="1699" w:type="dxa"/>
            <w:gridSpan w:val="4"/>
            <w:noWrap/>
            <w:vAlign w:val="center"/>
          </w:tcPr>
          <w:p>
            <w:pPr>
              <w:widowControl/>
              <w:adjustRightInd w:val="0"/>
              <w:snapToGrid w:val="0"/>
              <w:jc w:val="center"/>
              <w:rPr>
                <w:kern w:val="0"/>
                <w:sz w:val="18"/>
                <w:szCs w:val="18"/>
              </w:rPr>
            </w:pPr>
            <w:r>
              <w:rPr>
                <w:kern w:val="0"/>
                <w:sz w:val="18"/>
                <w:szCs w:val="18"/>
              </w:rPr>
              <w:t>研究方向</w:t>
            </w:r>
          </w:p>
        </w:tc>
        <w:tc>
          <w:tcPr>
            <w:tcW w:w="3774" w:type="dxa"/>
            <w:gridSpan w:val="8"/>
            <w:noWrap/>
            <w:vAlign w:val="center"/>
          </w:tcPr>
          <w:p>
            <w:pPr>
              <w:widowControl/>
              <w:adjustRightInd w:val="0"/>
              <w:snapToGrid w:val="0"/>
              <w:jc w:val="center"/>
              <w:rPr>
                <w:kern w:val="0"/>
                <w:sz w:val="18"/>
                <w:szCs w:val="18"/>
              </w:rPr>
            </w:pPr>
            <w:r>
              <w:rPr>
                <w:rFonts w:hint="eastAsia"/>
                <w:kern w:val="0"/>
                <w:sz w:val="18"/>
                <w:szCs w:val="18"/>
              </w:rPr>
              <w:t>纳米生物材料及其生物效应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54" w:hRule="atLeast"/>
          <w:jc w:val="center"/>
        </w:trPr>
        <w:tc>
          <w:tcPr>
            <w:tcW w:w="804" w:type="dxa"/>
            <w:vMerge w:val="continue"/>
            <w:tcMar>
              <w:left w:w="0" w:type="dxa"/>
              <w:right w:w="0" w:type="dxa"/>
            </w:tcMar>
            <w:vAlign w:val="center"/>
          </w:tcPr>
          <w:p>
            <w:pPr>
              <w:adjustRightInd w:val="0"/>
              <w:snapToGrid w:val="0"/>
              <w:jc w:val="center"/>
              <w:rPr>
                <w:b/>
                <w:kern w:val="0"/>
                <w:sz w:val="18"/>
                <w:szCs w:val="18"/>
              </w:rPr>
            </w:pPr>
          </w:p>
        </w:tc>
        <w:tc>
          <w:tcPr>
            <w:tcW w:w="1262" w:type="dxa"/>
            <w:noWrap/>
            <w:vAlign w:val="center"/>
          </w:tcPr>
          <w:p>
            <w:pPr>
              <w:widowControl/>
              <w:adjustRightInd w:val="0"/>
              <w:snapToGrid w:val="0"/>
              <w:jc w:val="center"/>
              <w:rPr>
                <w:kern w:val="0"/>
                <w:sz w:val="18"/>
                <w:szCs w:val="18"/>
              </w:rPr>
            </w:pPr>
            <w:r>
              <w:rPr>
                <w:kern w:val="0"/>
                <w:sz w:val="18"/>
                <w:szCs w:val="18"/>
              </w:rPr>
              <w:t>出生日期</w:t>
            </w:r>
          </w:p>
        </w:tc>
        <w:tc>
          <w:tcPr>
            <w:tcW w:w="1741" w:type="dxa"/>
            <w:gridSpan w:val="3"/>
            <w:noWrap/>
            <w:vAlign w:val="center"/>
          </w:tcPr>
          <w:p>
            <w:pPr>
              <w:widowControl/>
              <w:adjustRightInd w:val="0"/>
              <w:snapToGrid w:val="0"/>
              <w:jc w:val="center"/>
              <w:rPr>
                <w:kern w:val="0"/>
                <w:sz w:val="18"/>
                <w:szCs w:val="18"/>
              </w:rPr>
            </w:pPr>
            <w:r>
              <w:rPr>
                <w:rFonts w:hint="eastAsia"/>
                <w:kern w:val="0"/>
                <w:sz w:val="18"/>
                <w:szCs w:val="18"/>
              </w:rPr>
              <w:t>1974-04</w:t>
            </w:r>
          </w:p>
        </w:tc>
        <w:tc>
          <w:tcPr>
            <w:tcW w:w="1699" w:type="dxa"/>
            <w:gridSpan w:val="4"/>
            <w:noWrap/>
            <w:vAlign w:val="center"/>
          </w:tcPr>
          <w:p>
            <w:pPr>
              <w:widowControl/>
              <w:adjustRightInd w:val="0"/>
              <w:snapToGrid w:val="0"/>
              <w:jc w:val="center"/>
              <w:rPr>
                <w:kern w:val="0"/>
                <w:sz w:val="18"/>
                <w:szCs w:val="18"/>
              </w:rPr>
            </w:pPr>
            <w:r>
              <w:rPr>
                <w:kern w:val="0"/>
                <w:sz w:val="18"/>
                <w:szCs w:val="18"/>
              </w:rPr>
              <w:t>职称</w:t>
            </w:r>
          </w:p>
        </w:tc>
        <w:tc>
          <w:tcPr>
            <w:tcW w:w="1005" w:type="dxa"/>
            <w:gridSpan w:val="3"/>
            <w:noWrap/>
            <w:vAlign w:val="center"/>
          </w:tcPr>
          <w:p>
            <w:pPr>
              <w:widowControl/>
              <w:adjustRightInd w:val="0"/>
              <w:snapToGrid w:val="0"/>
              <w:jc w:val="center"/>
              <w:rPr>
                <w:kern w:val="0"/>
                <w:sz w:val="18"/>
                <w:szCs w:val="18"/>
              </w:rPr>
            </w:pPr>
            <w:r>
              <w:rPr>
                <w:kern w:val="0"/>
                <w:sz w:val="18"/>
                <w:szCs w:val="18"/>
              </w:rPr>
              <w:t>教授</w:t>
            </w:r>
          </w:p>
        </w:tc>
        <w:tc>
          <w:tcPr>
            <w:tcW w:w="1681" w:type="dxa"/>
            <w:gridSpan w:val="4"/>
            <w:noWrap/>
            <w:vAlign w:val="center"/>
          </w:tcPr>
          <w:p>
            <w:pPr>
              <w:widowControl/>
              <w:adjustRightInd w:val="0"/>
              <w:snapToGrid w:val="0"/>
              <w:jc w:val="center"/>
              <w:rPr>
                <w:kern w:val="0"/>
                <w:sz w:val="18"/>
                <w:szCs w:val="18"/>
              </w:rPr>
            </w:pPr>
            <w:r>
              <w:rPr>
                <w:kern w:val="0"/>
                <w:sz w:val="18"/>
                <w:szCs w:val="18"/>
              </w:rPr>
              <w:t>任职时间</w:t>
            </w:r>
          </w:p>
        </w:tc>
        <w:tc>
          <w:tcPr>
            <w:tcW w:w="1088" w:type="dxa"/>
            <w:noWrap/>
            <w:vAlign w:val="center"/>
          </w:tcPr>
          <w:p>
            <w:pPr>
              <w:widowControl/>
              <w:adjustRightInd w:val="0"/>
              <w:snapToGrid w:val="0"/>
              <w:jc w:val="center"/>
              <w:rPr>
                <w:kern w:val="0"/>
                <w:sz w:val="18"/>
                <w:szCs w:val="18"/>
              </w:rPr>
            </w:pPr>
            <w:r>
              <w:rPr>
                <w:rFonts w:hint="eastAsia"/>
                <w:kern w:val="0"/>
                <w:sz w:val="18"/>
                <w:szCs w:val="18"/>
              </w:rPr>
              <w:t>2016-至今</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54" w:hRule="atLeast"/>
          <w:jc w:val="center"/>
        </w:trPr>
        <w:tc>
          <w:tcPr>
            <w:tcW w:w="804" w:type="dxa"/>
            <w:vMerge w:val="continue"/>
            <w:tcMar>
              <w:left w:w="0" w:type="dxa"/>
              <w:right w:w="0" w:type="dxa"/>
            </w:tcMar>
            <w:vAlign w:val="center"/>
          </w:tcPr>
          <w:p>
            <w:pPr>
              <w:widowControl/>
              <w:adjustRightInd w:val="0"/>
              <w:snapToGrid w:val="0"/>
              <w:jc w:val="center"/>
              <w:rPr>
                <w:kern w:val="0"/>
                <w:sz w:val="18"/>
                <w:szCs w:val="18"/>
              </w:rPr>
            </w:pPr>
          </w:p>
        </w:tc>
        <w:tc>
          <w:tcPr>
            <w:tcW w:w="1262" w:type="dxa"/>
            <w:noWrap/>
            <w:vAlign w:val="center"/>
          </w:tcPr>
          <w:p>
            <w:pPr>
              <w:widowControl/>
              <w:adjustRightInd w:val="0"/>
              <w:snapToGrid w:val="0"/>
              <w:jc w:val="center"/>
              <w:rPr>
                <w:kern w:val="0"/>
                <w:sz w:val="18"/>
                <w:szCs w:val="18"/>
              </w:rPr>
            </w:pPr>
            <w:r>
              <w:rPr>
                <w:kern w:val="0"/>
                <w:sz w:val="18"/>
                <w:szCs w:val="18"/>
              </w:rPr>
              <w:t>姓名</w:t>
            </w:r>
          </w:p>
        </w:tc>
        <w:tc>
          <w:tcPr>
            <w:tcW w:w="1741" w:type="dxa"/>
            <w:gridSpan w:val="3"/>
            <w:noWrap/>
            <w:vAlign w:val="center"/>
          </w:tcPr>
          <w:p>
            <w:pPr>
              <w:widowControl/>
              <w:adjustRightInd w:val="0"/>
              <w:snapToGrid w:val="0"/>
              <w:jc w:val="center"/>
              <w:rPr>
                <w:kern w:val="0"/>
                <w:sz w:val="18"/>
                <w:szCs w:val="18"/>
              </w:rPr>
            </w:pPr>
            <w:r>
              <w:rPr>
                <w:kern w:val="0"/>
                <w:sz w:val="18"/>
                <w:szCs w:val="18"/>
              </w:rPr>
              <w:t>王恒山</w:t>
            </w:r>
          </w:p>
        </w:tc>
        <w:tc>
          <w:tcPr>
            <w:tcW w:w="1699" w:type="dxa"/>
            <w:gridSpan w:val="4"/>
            <w:noWrap/>
            <w:vAlign w:val="center"/>
          </w:tcPr>
          <w:p>
            <w:pPr>
              <w:widowControl/>
              <w:adjustRightInd w:val="0"/>
              <w:snapToGrid w:val="0"/>
              <w:jc w:val="center"/>
              <w:rPr>
                <w:kern w:val="0"/>
                <w:sz w:val="18"/>
                <w:szCs w:val="18"/>
              </w:rPr>
            </w:pPr>
            <w:r>
              <w:rPr>
                <w:kern w:val="0"/>
                <w:sz w:val="18"/>
                <w:szCs w:val="18"/>
              </w:rPr>
              <w:t>研究方向</w:t>
            </w:r>
          </w:p>
        </w:tc>
        <w:tc>
          <w:tcPr>
            <w:tcW w:w="3774" w:type="dxa"/>
            <w:gridSpan w:val="8"/>
            <w:noWrap/>
            <w:vAlign w:val="center"/>
          </w:tcPr>
          <w:p>
            <w:pPr>
              <w:widowControl/>
              <w:adjustRightInd w:val="0"/>
              <w:snapToGrid w:val="0"/>
              <w:jc w:val="center"/>
              <w:rPr>
                <w:kern w:val="0"/>
                <w:sz w:val="18"/>
                <w:szCs w:val="18"/>
              </w:rPr>
            </w:pPr>
            <w:r>
              <w:rPr>
                <w:kern w:val="0"/>
                <w:sz w:val="18"/>
                <w:szCs w:val="18"/>
              </w:rPr>
              <w:t>天然产物化学与药物化学</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54" w:hRule="atLeast"/>
          <w:jc w:val="center"/>
        </w:trPr>
        <w:tc>
          <w:tcPr>
            <w:tcW w:w="804" w:type="dxa"/>
            <w:vMerge w:val="continue"/>
            <w:tcBorders>
              <w:bottom w:val="single" w:color="auto" w:sz="2" w:space="0"/>
            </w:tcBorders>
            <w:tcMar>
              <w:left w:w="0" w:type="dxa"/>
              <w:right w:w="0" w:type="dxa"/>
            </w:tcMar>
            <w:vAlign w:val="center"/>
          </w:tcPr>
          <w:p>
            <w:pPr>
              <w:widowControl/>
              <w:adjustRightInd w:val="0"/>
              <w:snapToGrid w:val="0"/>
              <w:jc w:val="center"/>
              <w:rPr>
                <w:b/>
                <w:kern w:val="0"/>
                <w:sz w:val="18"/>
                <w:szCs w:val="18"/>
              </w:rPr>
            </w:pPr>
          </w:p>
        </w:tc>
        <w:tc>
          <w:tcPr>
            <w:tcW w:w="1262" w:type="dxa"/>
            <w:tcBorders>
              <w:bottom w:val="single" w:color="auto" w:sz="2" w:space="0"/>
            </w:tcBorders>
            <w:noWrap/>
            <w:vAlign w:val="center"/>
          </w:tcPr>
          <w:p>
            <w:pPr>
              <w:widowControl/>
              <w:adjustRightInd w:val="0"/>
              <w:snapToGrid w:val="0"/>
              <w:jc w:val="center"/>
              <w:rPr>
                <w:kern w:val="0"/>
                <w:sz w:val="18"/>
                <w:szCs w:val="18"/>
              </w:rPr>
            </w:pPr>
            <w:r>
              <w:rPr>
                <w:kern w:val="0"/>
                <w:sz w:val="18"/>
                <w:szCs w:val="18"/>
              </w:rPr>
              <w:t>出生日期</w:t>
            </w:r>
          </w:p>
        </w:tc>
        <w:tc>
          <w:tcPr>
            <w:tcW w:w="1741" w:type="dxa"/>
            <w:gridSpan w:val="3"/>
            <w:tcBorders>
              <w:bottom w:val="single" w:color="auto" w:sz="2" w:space="0"/>
            </w:tcBorders>
            <w:noWrap/>
            <w:vAlign w:val="center"/>
          </w:tcPr>
          <w:p>
            <w:pPr>
              <w:widowControl/>
              <w:adjustRightInd w:val="0"/>
              <w:snapToGrid w:val="0"/>
              <w:jc w:val="center"/>
              <w:rPr>
                <w:kern w:val="0"/>
                <w:sz w:val="18"/>
                <w:szCs w:val="18"/>
              </w:rPr>
            </w:pPr>
            <w:r>
              <w:rPr>
                <w:rFonts w:hint="eastAsia"/>
                <w:kern w:val="0"/>
                <w:sz w:val="18"/>
                <w:szCs w:val="18"/>
              </w:rPr>
              <w:t>1965-04</w:t>
            </w:r>
          </w:p>
        </w:tc>
        <w:tc>
          <w:tcPr>
            <w:tcW w:w="1699" w:type="dxa"/>
            <w:gridSpan w:val="4"/>
            <w:tcBorders>
              <w:bottom w:val="single" w:color="auto" w:sz="2" w:space="0"/>
            </w:tcBorders>
            <w:noWrap/>
            <w:vAlign w:val="center"/>
          </w:tcPr>
          <w:p>
            <w:pPr>
              <w:widowControl/>
              <w:adjustRightInd w:val="0"/>
              <w:snapToGrid w:val="0"/>
              <w:jc w:val="center"/>
              <w:rPr>
                <w:kern w:val="0"/>
                <w:sz w:val="18"/>
                <w:szCs w:val="18"/>
              </w:rPr>
            </w:pPr>
            <w:r>
              <w:rPr>
                <w:kern w:val="0"/>
                <w:sz w:val="18"/>
                <w:szCs w:val="18"/>
              </w:rPr>
              <w:t>职称</w:t>
            </w:r>
          </w:p>
        </w:tc>
        <w:tc>
          <w:tcPr>
            <w:tcW w:w="1005" w:type="dxa"/>
            <w:gridSpan w:val="3"/>
            <w:tcBorders>
              <w:bottom w:val="single" w:color="auto" w:sz="2" w:space="0"/>
            </w:tcBorders>
            <w:noWrap/>
            <w:vAlign w:val="center"/>
          </w:tcPr>
          <w:p>
            <w:pPr>
              <w:widowControl/>
              <w:adjustRightInd w:val="0"/>
              <w:snapToGrid w:val="0"/>
              <w:jc w:val="center"/>
              <w:rPr>
                <w:kern w:val="0"/>
                <w:sz w:val="18"/>
                <w:szCs w:val="18"/>
              </w:rPr>
            </w:pPr>
            <w:r>
              <w:rPr>
                <w:kern w:val="0"/>
                <w:sz w:val="18"/>
                <w:szCs w:val="18"/>
              </w:rPr>
              <w:t>教授</w:t>
            </w:r>
          </w:p>
        </w:tc>
        <w:tc>
          <w:tcPr>
            <w:tcW w:w="1681" w:type="dxa"/>
            <w:gridSpan w:val="4"/>
            <w:tcBorders>
              <w:bottom w:val="single" w:color="auto" w:sz="2" w:space="0"/>
            </w:tcBorders>
            <w:noWrap/>
            <w:vAlign w:val="center"/>
          </w:tcPr>
          <w:p>
            <w:pPr>
              <w:widowControl/>
              <w:adjustRightInd w:val="0"/>
              <w:snapToGrid w:val="0"/>
              <w:jc w:val="center"/>
              <w:rPr>
                <w:kern w:val="0"/>
                <w:sz w:val="18"/>
                <w:szCs w:val="18"/>
              </w:rPr>
            </w:pPr>
            <w:r>
              <w:rPr>
                <w:kern w:val="0"/>
                <w:sz w:val="18"/>
                <w:szCs w:val="18"/>
              </w:rPr>
              <w:t>任职时间</w:t>
            </w:r>
          </w:p>
        </w:tc>
        <w:tc>
          <w:tcPr>
            <w:tcW w:w="1088" w:type="dxa"/>
            <w:tcBorders>
              <w:bottom w:val="single" w:color="auto" w:sz="2" w:space="0"/>
            </w:tcBorders>
            <w:noWrap/>
            <w:vAlign w:val="center"/>
          </w:tcPr>
          <w:p>
            <w:pPr>
              <w:widowControl/>
              <w:adjustRightInd w:val="0"/>
              <w:snapToGrid w:val="0"/>
              <w:jc w:val="center"/>
              <w:rPr>
                <w:kern w:val="0"/>
                <w:sz w:val="18"/>
                <w:szCs w:val="18"/>
              </w:rPr>
            </w:pPr>
            <w:r>
              <w:rPr>
                <w:rFonts w:hint="eastAsia"/>
                <w:kern w:val="0"/>
                <w:sz w:val="18"/>
                <w:szCs w:val="18"/>
              </w:rPr>
              <w:t>2016-至今</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54" w:hRule="atLeast"/>
          <w:jc w:val="center"/>
        </w:trPr>
        <w:tc>
          <w:tcPr>
            <w:tcW w:w="804" w:type="dxa"/>
            <w:vMerge w:val="restart"/>
            <w:tcBorders>
              <w:top w:val="single" w:color="auto" w:sz="2" w:space="0"/>
              <w:bottom w:val="single" w:color="auto" w:sz="2" w:space="0"/>
            </w:tcBorders>
            <w:tcMar>
              <w:left w:w="0" w:type="dxa"/>
              <w:right w:w="0" w:type="dxa"/>
            </w:tcMar>
            <w:vAlign w:val="center"/>
          </w:tcPr>
          <w:p>
            <w:pPr>
              <w:widowControl/>
              <w:adjustRightInd w:val="0"/>
              <w:snapToGrid w:val="0"/>
              <w:jc w:val="center"/>
              <w:rPr>
                <w:b/>
                <w:kern w:val="0"/>
                <w:sz w:val="18"/>
                <w:szCs w:val="18"/>
              </w:rPr>
            </w:pPr>
            <w:r>
              <w:rPr>
                <w:b/>
                <w:kern w:val="0"/>
                <w:sz w:val="18"/>
                <w:szCs w:val="18"/>
              </w:rPr>
              <w:t>学术</w:t>
            </w:r>
          </w:p>
          <w:p>
            <w:pPr>
              <w:widowControl/>
              <w:adjustRightInd w:val="0"/>
              <w:snapToGrid w:val="0"/>
              <w:jc w:val="center"/>
              <w:rPr>
                <w:b/>
                <w:kern w:val="0"/>
                <w:sz w:val="18"/>
                <w:szCs w:val="18"/>
              </w:rPr>
            </w:pPr>
            <w:r>
              <w:rPr>
                <w:b/>
                <w:kern w:val="0"/>
                <w:sz w:val="18"/>
                <w:szCs w:val="18"/>
              </w:rPr>
              <w:t>委员会主任</w:t>
            </w:r>
          </w:p>
        </w:tc>
        <w:tc>
          <w:tcPr>
            <w:tcW w:w="1262" w:type="dxa"/>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姓名</w:t>
            </w:r>
          </w:p>
        </w:tc>
        <w:tc>
          <w:tcPr>
            <w:tcW w:w="1741" w:type="dxa"/>
            <w:gridSpan w:val="3"/>
            <w:tcBorders>
              <w:top w:val="single" w:color="auto" w:sz="2" w:space="0"/>
              <w:bottom w:val="single" w:color="auto" w:sz="2" w:space="0"/>
            </w:tcBorders>
            <w:noWrap/>
            <w:vAlign w:val="center"/>
          </w:tcPr>
          <w:p>
            <w:pPr>
              <w:adjustRightInd w:val="0"/>
              <w:snapToGrid w:val="0"/>
              <w:spacing w:line="320" w:lineRule="exact"/>
              <w:jc w:val="center"/>
              <w:rPr>
                <w:rFonts w:ascii="仿宋_GB2312" w:hAnsi="仿宋" w:eastAsia="仿宋_GB2312"/>
                <w:sz w:val="18"/>
                <w:szCs w:val="18"/>
              </w:rPr>
            </w:pPr>
            <w:r>
              <w:rPr>
                <w:rFonts w:hint="eastAsia"/>
                <w:kern w:val="0"/>
                <w:sz w:val="18"/>
                <w:szCs w:val="18"/>
              </w:rPr>
              <w:t>陈凯先</w:t>
            </w:r>
          </w:p>
        </w:tc>
        <w:tc>
          <w:tcPr>
            <w:tcW w:w="1699" w:type="dxa"/>
            <w:gridSpan w:val="4"/>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研究方向</w:t>
            </w:r>
          </w:p>
        </w:tc>
        <w:tc>
          <w:tcPr>
            <w:tcW w:w="3774" w:type="dxa"/>
            <w:gridSpan w:val="8"/>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药物</w:t>
            </w:r>
            <w:r>
              <w:rPr>
                <w:rFonts w:hint="eastAsia"/>
                <w:kern w:val="0"/>
                <w:sz w:val="18"/>
                <w:szCs w:val="18"/>
              </w:rPr>
              <w:t>化学与新药研究</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54" w:hRule="atLeast"/>
          <w:jc w:val="center"/>
        </w:trPr>
        <w:tc>
          <w:tcPr>
            <w:tcW w:w="804" w:type="dxa"/>
            <w:vMerge w:val="continue"/>
            <w:tcBorders>
              <w:top w:val="single" w:color="auto" w:sz="2" w:space="0"/>
              <w:bottom w:val="single" w:color="auto" w:sz="12" w:space="0"/>
            </w:tcBorders>
            <w:tcMar>
              <w:left w:w="0" w:type="dxa"/>
              <w:right w:w="0" w:type="dxa"/>
            </w:tcMar>
            <w:vAlign w:val="center"/>
          </w:tcPr>
          <w:p>
            <w:pPr>
              <w:widowControl/>
              <w:adjustRightInd w:val="0"/>
              <w:snapToGrid w:val="0"/>
              <w:jc w:val="center"/>
              <w:rPr>
                <w:b/>
                <w:kern w:val="0"/>
                <w:sz w:val="18"/>
                <w:szCs w:val="18"/>
              </w:rPr>
            </w:pPr>
          </w:p>
        </w:tc>
        <w:tc>
          <w:tcPr>
            <w:tcW w:w="1262" w:type="dxa"/>
            <w:tcBorders>
              <w:top w:val="single" w:color="auto" w:sz="2" w:space="0"/>
              <w:bottom w:val="single" w:color="auto" w:sz="12" w:space="0"/>
            </w:tcBorders>
            <w:noWrap/>
            <w:vAlign w:val="center"/>
          </w:tcPr>
          <w:p>
            <w:pPr>
              <w:widowControl/>
              <w:adjustRightInd w:val="0"/>
              <w:snapToGrid w:val="0"/>
              <w:jc w:val="center"/>
              <w:rPr>
                <w:kern w:val="0"/>
                <w:sz w:val="18"/>
                <w:szCs w:val="18"/>
              </w:rPr>
            </w:pPr>
            <w:r>
              <w:rPr>
                <w:kern w:val="0"/>
                <w:sz w:val="18"/>
                <w:szCs w:val="18"/>
              </w:rPr>
              <w:t>出生日期</w:t>
            </w:r>
          </w:p>
        </w:tc>
        <w:tc>
          <w:tcPr>
            <w:tcW w:w="1741" w:type="dxa"/>
            <w:gridSpan w:val="3"/>
            <w:tcBorders>
              <w:top w:val="single" w:color="auto" w:sz="2" w:space="0"/>
              <w:bottom w:val="single" w:color="auto" w:sz="12" w:space="0"/>
            </w:tcBorders>
            <w:noWrap/>
            <w:vAlign w:val="center"/>
          </w:tcPr>
          <w:p>
            <w:pPr>
              <w:widowControl/>
              <w:adjustRightInd w:val="0"/>
              <w:snapToGrid w:val="0"/>
              <w:jc w:val="center"/>
              <w:rPr>
                <w:kern w:val="0"/>
                <w:sz w:val="18"/>
                <w:szCs w:val="18"/>
              </w:rPr>
            </w:pPr>
            <w:r>
              <w:rPr>
                <w:rFonts w:hint="eastAsia"/>
                <w:kern w:val="0"/>
                <w:sz w:val="18"/>
                <w:szCs w:val="18"/>
              </w:rPr>
              <w:t>1945-08</w:t>
            </w:r>
          </w:p>
        </w:tc>
        <w:tc>
          <w:tcPr>
            <w:tcW w:w="1699" w:type="dxa"/>
            <w:gridSpan w:val="4"/>
            <w:tcBorders>
              <w:top w:val="single" w:color="auto" w:sz="2" w:space="0"/>
              <w:bottom w:val="single" w:color="auto" w:sz="12" w:space="0"/>
            </w:tcBorders>
            <w:noWrap/>
            <w:vAlign w:val="center"/>
          </w:tcPr>
          <w:p>
            <w:pPr>
              <w:widowControl/>
              <w:adjustRightInd w:val="0"/>
              <w:snapToGrid w:val="0"/>
              <w:jc w:val="center"/>
              <w:rPr>
                <w:kern w:val="0"/>
                <w:sz w:val="18"/>
                <w:szCs w:val="18"/>
              </w:rPr>
            </w:pPr>
            <w:r>
              <w:rPr>
                <w:kern w:val="0"/>
                <w:sz w:val="18"/>
                <w:szCs w:val="18"/>
              </w:rPr>
              <w:t>职称</w:t>
            </w:r>
          </w:p>
        </w:tc>
        <w:tc>
          <w:tcPr>
            <w:tcW w:w="1005" w:type="dxa"/>
            <w:gridSpan w:val="3"/>
            <w:tcBorders>
              <w:top w:val="single" w:color="auto" w:sz="2" w:space="0"/>
              <w:bottom w:val="single" w:color="auto" w:sz="12" w:space="0"/>
            </w:tcBorders>
            <w:noWrap/>
            <w:vAlign w:val="center"/>
          </w:tcPr>
          <w:p>
            <w:pPr>
              <w:widowControl/>
              <w:adjustRightInd w:val="0"/>
              <w:snapToGrid w:val="0"/>
              <w:jc w:val="center"/>
              <w:rPr>
                <w:kern w:val="0"/>
                <w:sz w:val="18"/>
                <w:szCs w:val="18"/>
              </w:rPr>
            </w:pPr>
            <w:r>
              <w:rPr>
                <w:kern w:val="0"/>
                <w:sz w:val="18"/>
                <w:szCs w:val="18"/>
              </w:rPr>
              <w:t>院士</w:t>
            </w:r>
          </w:p>
        </w:tc>
        <w:tc>
          <w:tcPr>
            <w:tcW w:w="1681" w:type="dxa"/>
            <w:gridSpan w:val="4"/>
            <w:tcBorders>
              <w:top w:val="single" w:color="auto" w:sz="2" w:space="0"/>
              <w:bottom w:val="single" w:color="auto" w:sz="12" w:space="0"/>
            </w:tcBorders>
            <w:noWrap/>
            <w:vAlign w:val="center"/>
          </w:tcPr>
          <w:p>
            <w:pPr>
              <w:widowControl/>
              <w:adjustRightInd w:val="0"/>
              <w:snapToGrid w:val="0"/>
              <w:jc w:val="center"/>
              <w:rPr>
                <w:kern w:val="0"/>
                <w:sz w:val="18"/>
                <w:szCs w:val="18"/>
              </w:rPr>
            </w:pPr>
            <w:r>
              <w:rPr>
                <w:kern w:val="0"/>
                <w:sz w:val="18"/>
                <w:szCs w:val="18"/>
              </w:rPr>
              <w:t>任职时间</w:t>
            </w:r>
          </w:p>
        </w:tc>
        <w:tc>
          <w:tcPr>
            <w:tcW w:w="1088" w:type="dxa"/>
            <w:tcBorders>
              <w:top w:val="single" w:color="auto" w:sz="2" w:space="0"/>
              <w:bottom w:val="single" w:color="auto" w:sz="12" w:space="0"/>
            </w:tcBorders>
            <w:noWrap/>
            <w:vAlign w:val="center"/>
          </w:tcPr>
          <w:p>
            <w:pPr>
              <w:widowControl/>
              <w:adjustRightInd w:val="0"/>
              <w:snapToGrid w:val="0"/>
              <w:jc w:val="center"/>
              <w:rPr>
                <w:kern w:val="0"/>
                <w:sz w:val="18"/>
                <w:szCs w:val="18"/>
              </w:rPr>
            </w:pPr>
            <w:r>
              <w:rPr>
                <w:rFonts w:hint="eastAsia"/>
                <w:kern w:val="0"/>
                <w:sz w:val="18"/>
                <w:szCs w:val="18"/>
              </w:rPr>
              <w:t>2016-至今</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restart"/>
            <w:tcBorders>
              <w:top w:val="single" w:color="auto" w:sz="1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r>
              <w:rPr>
                <w:b/>
                <w:kern w:val="0"/>
                <w:sz w:val="18"/>
                <w:szCs w:val="18"/>
              </w:rPr>
              <w:t>研究水平与贡献</w:t>
            </w:r>
          </w:p>
        </w:tc>
        <w:tc>
          <w:tcPr>
            <w:tcW w:w="1262" w:type="dxa"/>
            <w:vMerge w:val="restart"/>
            <w:tcBorders>
              <w:top w:val="single" w:color="auto" w:sz="12" w:space="0"/>
              <w:bottom w:val="single" w:color="auto" w:sz="2" w:space="0"/>
            </w:tcBorders>
            <w:noWrap/>
            <w:vAlign w:val="center"/>
          </w:tcPr>
          <w:p>
            <w:pPr>
              <w:widowControl/>
              <w:adjustRightInd w:val="0"/>
              <w:snapToGrid w:val="0"/>
              <w:jc w:val="center"/>
              <w:rPr>
                <w:kern w:val="0"/>
                <w:sz w:val="18"/>
                <w:szCs w:val="18"/>
              </w:rPr>
            </w:pPr>
            <w:r>
              <w:rPr>
                <w:kern w:val="0"/>
                <w:sz w:val="18"/>
                <w:szCs w:val="18"/>
              </w:rPr>
              <w:t>论文与专著</w:t>
            </w:r>
          </w:p>
        </w:tc>
        <w:tc>
          <w:tcPr>
            <w:tcW w:w="1741" w:type="dxa"/>
            <w:gridSpan w:val="3"/>
            <w:tcBorders>
              <w:top w:val="single" w:color="auto" w:sz="12" w:space="0"/>
              <w:bottom w:val="single" w:color="auto" w:sz="2" w:space="0"/>
            </w:tcBorders>
            <w:noWrap/>
            <w:vAlign w:val="center"/>
          </w:tcPr>
          <w:p>
            <w:pPr>
              <w:widowControl/>
              <w:adjustRightInd w:val="0"/>
              <w:snapToGrid w:val="0"/>
              <w:jc w:val="center"/>
              <w:rPr>
                <w:kern w:val="0"/>
                <w:sz w:val="18"/>
                <w:szCs w:val="18"/>
              </w:rPr>
            </w:pPr>
            <w:r>
              <w:rPr>
                <w:kern w:val="0"/>
                <w:sz w:val="18"/>
                <w:szCs w:val="18"/>
              </w:rPr>
              <w:t>发表论文</w:t>
            </w:r>
          </w:p>
        </w:tc>
        <w:tc>
          <w:tcPr>
            <w:tcW w:w="1699" w:type="dxa"/>
            <w:gridSpan w:val="4"/>
            <w:tcBorders>
              <w:top w:val="single" w:color="auto" w:sz="12" w:space="0"/>
              <w:bottom w:val="single" w:color="auto" w:sz="2" w:space="0"/>
            </w:tcBorders>
            <w:noWrap/>
            <w:vAlign w:val="center"/>
          </w:tcPr>
          <w:p>
            <w:pPr>
              <w:widowControl/>
              <w:adjustRightInd w:val="0"/>
              <w:snapToGrid w:val="0"/>
              <w:jc w:val="center"/>
              <w:rPr>
                <w:kern w:val="0"/>
                <w:sz w:val="18"/>
                <w:szCs w:val="18"/>
              </w:rPr>
            </w:pPr>
            <w:r>
              <w:rPr>
                <w:kern w:val="0"/>
                <w:sz w:val="18"/>
                <w:szCs w:val="18"/>
              </w:rPr>
              <w:t>SCI</w:t>
            </w:r>
          </w:p>
        </w:tc>
        <w:tc>
          <w:tcPr>
            <w:tcW w:w="1005" w:type="dxa"/>
            <w:gridSpan w:val="3"/>
            <w:tcBorders>
              <w:top w:val="single" w:color="auto" w:sz="1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411</w:t>
            </w:r>
            <w:r>
              <w:rPr>
                <w:kern w:val="0"/>
                <w:sz w:val="18"/>
                <w:szCs w:val="18"/>
              </w:rPr>
              <w:t>篇</w:t>
            </w:r>
          </w:p>
        </w:tc>
        <w:tc>
          <w:tcPr>
            <w:tcW w:w="1681" w:type="dxa"/>
            <w:gridSpan w:val="4"/>
            <w:tcBorders>
              <w:top w:val="single" w:color="auto" w:sz="12" w:space="0"/>
              <w:bottom w:val="single" w:color="auto" w:sz="2" w:space="0"/>
            </w:tcBorders>
            <w:noWrap/>
            <w:vAlign w:val="center"/>
          </w:tcPr>
          <w:p>
            <w:pPr>
              <w:widowControl/>
              <w:adjustRightInd w:val="0"/>
              <w:snapToGrid w:val="0"/>
              <w:jc w:val="center"/>
              <w:rPr>
                <w:kern w:val="0"/>
                <w:sz w:val="18"/>
                <w:szCs w:val="18"/>
              </w:rPr>
            </w:pPr>
            <w:r>
              <w:rPr>
                <w:kern w:val="0"/>
                <w:sz w:val="18"/>
                <w:szCs w:val="18"/>
              </w:rPr>
              <w:t>EI</w:t>
            </w:r>
          </w:p>
        </w:tc>
        <w:tc>
          <w:tcPr>
            <w:tcW w:w="1088" w:type="dxa"/>
            <w:tcBorders>
              <w:top w:val="single" w:color="auto" w:sz="1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0 </w:t>
            </w:r>
            <w:r>
              <w:rPr>
                <w:kern w:val="0"/>
                <w:sz w:val="18"/>
                <w:szCs w:val="18"/>
              </w:rPr>
              <w:t>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noWrap/>
            <w:vAlign w:val="center"/>
          </w:tcPr>
          <w:p>
            <w:pPr>
              <w:widowControl/>
              <w:adjustRightInd w:val="0"/>
              <w:snapToGrid w:val="0"/>
              <w:jc w:val="center"/>
              <w:rPr>
                <w:kern w:val="0"/>
                <w:sz w:val="18"/>
                <w:szCs w:val="18"/>
              </w:rPr>
            </w:pPr>
          </w:p>
        </w:tc>
        <w:tc>
          <w:tcPr>
            <w:tcW w:w="3440" w:type="dxa"/>
            <w:gridSpan w:val="7"/>
            <w:vMerge w:val="restart"/>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人均论文</w:t>
            </w:r>
          </w:p>
          <w:p>
            <w:pPr>
              <w:widowControl/>
              <w:adjustRightInd w:val="0"/>
              <w:snapToGrid w:val="0"/>
              <w:jc w:val="center"/>
              <w:rPr>
                <w:kern w:val="0"/>
                <w:sz w:val="18"/>
                <w:szCs w:val="18"/>
              </w:rPr>
            </w:pPr>
            <w:r>
              <w:rPr>
                <w:kern w:val="0"/>
                <w:sz w:val="18"/>
                <w:szCs w:val="18"/>
              </w:rPr>
              <w:t>(SCI+EI)/实验室人员数</w:t>
            </w:r>
          </w:p>
        </w:tc>
        <w:tc>
          <w:tcPr>
            <w:tcW w:w="1005" w:type="dxa"/>
            <w:gridSpan w:val="3"/>
            <w:vMerge w:val="restart"/>
            <w:tcBorders>
              <w:top w:val="single" w:color="auto" w:sz="2" w:space="0"/>
              <w:bottom w:val="single" w:color="auto" w:sz="2" w:space="0"/>
            </w:tcBorders>
            <w:noWrap/>
            <w:tcMar>
              <w:left w:w="0" w:type="dxa"/>
              <w:right w:w="0" w:type="dxa"/>
            </w:tcMar>
            <w:vAlign w:val="center"/>
          </w:tcPr>
          <w:p>
            <w:pPr>
              <w:widowControl/>
              <w:adjustRightInd w:val="0"/>
              <w:snapToGrid w:val="0"/>
              <w:jc w:val="right"/>
              <w:rPr>
                <w:kern w:val="0"/>
                <w:sz w:val="18"/>
                <w:szCs w:val="18"/>
              </w:rPr>
            </w:pPr>
            <w:r>
              <w:rPr>
                <w:rFonts w:hint="eastAsia"/>
                <w:kern w:val="0"/>
                <w:sz w:val="18"/>
                <w:szCs w:val="18"/>
              </w:rPr>
              <w:t xml:space="preserve">8.22 </w:t>
            </w:r>
            <w:r>
              <w:rPr>
                <w:kern w:val="0"/>
                <w:sz w:val="18"/>
                <w:szCs w:val="18"/>
              </w:rPr>
              <w:t>篇/人</w:t>
            </w:r>
          </w:p>
        </w:tc>
        <w:tc>
          <w:tcPr>
            <w:tcW w:w="1681" w:type="dxa"/>
            <w:gridSpan w:val="4"/>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篇均他引</w:t>
            </w:r>
          </w:p>
        </w:tc>
        <w:tc>
          <w:tcPr>
            <w:tcW w:w="1088" w:type="dxa"/>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9.9 </w:t>
            </w:r>
            <w:r>
              <w:rPr>
                <w:kern w:val="0"/>
                <w:sz w:val="18"/>
                <w:szCs w:val="18"/>
              </w:rPr>
              <w:t>次</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noWrap/>
            <w:vAlign w:val="center"/>
          </w:tcPr>
          <w:p>
            <w:pPr>
              <w:widowControl/>
              <w:adjustRightInd w:val="0"/>
              <w:snapToGrid w:val="0"/>
              <w:jc w:val="center"/>
              <w:rPr>
                <w:kern w:val="0"/>
                <w:sz w:val="18"/>
                <w:szCs w:val="18"/>
              </w:rPr>
            </w:pPr>
          </w:p>
        </w:tc>
        <w:tc>
          <w:tcPr>
            <w:tcW w:w="3440" w:type="dxa"/>
            <w:gridSpan w:val="7"/>
            <w:vMerge w:val="continue"/>
            <w:tcBorders>
              <w:top w:val="single" w:color="auto" w:sz="2" w:space="0"/>
              <w:bottom w:val="single" w:color="auto" w:sz="2" w:space="0"/>
            </w:tcBorders>
            <w:noWrap/>
            <w:vAlign w:val="center"/>
          </w:tcPr>
          <w:p>
            <w:pPr>
              <w:widowControl/>
              <w:adjustRightInd w:val="0"/>
              <w:snapToGrid w:val="0"/>
              <w:jc w:val="left"/>
              <w:rPr>
                <w:kern w:val="0"/>
                <w:sz w:val="18"/>
                <w:szCs w:val="18"/>
              </w:rPr>
            </w:pPr>
          </w:p>
        </w:tc>
        <w:tc>
          <w:tcPr>
            <w:tcW w:w="1005" w:type="dxa"/>
            <w:gridSpan w:val="3"/>
            <w:vMerge w:val="continue"/>
            <w:tcBorders>
              <w:top w:val="single" w:color="auto" w:sz="2" w:space="0"/>
              <w:bottom w:val="single" w:color="auto" w:sz="2" w:space="0"/>
            </w:tcBorders>
            <w:noWrap/>
            <w:tcMar>
              <w:left w:w="0" w:type="dxa"/>
              <w:right w:w="0" w:type="dxa"/>
            </w:tcMar>
            <w:vAlign w:val="center"/>
          </w:tcPr>
          <w:p>
            <w:pPr>
              <w:widowControl/>
              <w:adjustRightInd w:val="0"/>
              <w:snapToGrid w:val="0"/>
              <w:jc w:val="left"/>
              <w:rPr>
                <w:kern w:val="0"/>
                <w:sz w:val="18"/>
                <w:szCs w:val="18"/>
              </w:rPr>
            </w:pPr>
          </w:p>
        </w:tc>
        <w:tc>
          <w:tcPr>
            <w:tcW w:w="1681" w:type="dxa"/>
            <w:gridSpan w:val="4"/>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单篇最高他引次数</w:t>
            </w:r>
          </w:p>
        </w:tc>
        <w:tc>
          <w:tcPr>
            <w:tcW w:w="1088" w:type="dxa"/>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231 </w:t>
            </w:r>
            <w:r>
              <w:rPr>
                <w:kern w:val="0"/>
                <w:sz w:val="18"/>
                <w:szCs w:val="18"/>
              </w:rPr>
              <w:t>次</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kern w:val="0"/>
                <w:sz w:val="18"/>
                <w:szCs w:val="18"/>
              </w:rPr>
            </w:pPr>
          </w:p>
        </w:tc>
        <w:tc>
          <w:tcPr>
            <w:tcW w:w="1741" w:type="dxa"/>
            <w:gridSpan w:val="3"/>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科技专著</w:t>
            </w:r>
          </w:p>
        </w:tc>
        <w:tc>
          <w:tcPr>
            <w:tcW w:w="1699" w:type="dxa"/>
            <w:gridSpan w:val="4"/>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国内出版</w:t>
            </w:r>
          </w:p>
        </w:tc>
        <w:tc>
          <w:tcPr>
            <w:tcW w:w="1005" w:type="dxa"/>
            <w:gridSpan w:val="3"/>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0 </w:t>
            </w:r>
            <w:r>
              <w:rPr>
                <w:kern w:val="0"/>
                <w:sz w:val="18"/>
                <w:szCs w:val="18"/>
              </w:rPr>
              <w:t>部</w:t>
            </w:r>
          </w:p>
        </w:tc>
        <w:tc>
          <w:tcPr>
            <w:tcW w:w="1681" w:type="dxa"/>
            <w:gridSpan w:val="4"/>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国外出版</w:t>
            </w:r>
          </w:p>
        </w:tc>
        <w:tc>
          <w:tcPr>
            <w:tcW w:w="1088" w:type="dxa"/>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 0 </w:t>
            </w:r>
            <w:r>
              <w:rPr>
                <w:kern w:val="0"/>
                <w:sz w:val="18"/>
                <w:szCs w:val="18"/>
              </w:rPr>
              <w:t>部</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restart"/>
            <w:tcBorders>
              <w:top w:val="single" w:color="auto" w:sz="2" w:space="0"/>
              <w:bottom w:val="single" w:color="auto" w:sz="2" w:space="0"/>
            </w:tcBorders>
            <w:vAlign w:val="center"/>
          </w:tcPr>
          <w:p>
            <w:pPr>
              <w:widowControl/>
              <w:adjustRightInd w:val="0"/>
              <w:snapToGrid w:val="0"/>
              <w:jc w:val="center"/>
              <w:rPr>
                <w:kern w:val="0"/>
                <w:sz w:val="18"/>
                <w:szCs w:val="18"/>
              </w:rPr>
            </w:pPr>
            <w:r>
              <w:rPr>
                <w:kern w:val="0"/>
                <w:sz w:val="18"/>
                <w:szCs w:val="18"/>
              </w:rPr>
              <w:t>奖励</w:t>
            </w:r>
          </w:p>
        </w:tc>
        <w:tc>
          <w:tcPr>
            <w:tcW w:w="1741" w:type="dxa"/>
            <w:gridSpan w:val="3"/>
            <w:tcBorders>
              <w:top w:val="single" w:color="auto" w:sz="2" w:space="0"/>
              <w:bottom w:val="single" w:color="auto" w:sz="2" w:space="0"/>
            </w:tcBorders>
            <w:noWrap/>
            <w:tcMar>
              <w:left w:w="57" w:type="dxa"/>
              <w:right w:w="0" w:type="dxa"/>
            </w:tcMar>
            <w:vAlign w:val="center"/>
          </w:tcPr>
          <w:p>
            <w:pPr>
              <w:widowControl/>
              <w:adjustRightInd w:val="0"/>
              <w:snapToGrid w:val="0"/>
              <w:jc w:val="center"/>
              <w:rPr>
                <w:kern w:val="0"/>
                <w:sz w:val="18"/>
                <w:szCs w:val="18"/>
              </w:rPr>
            </w:pPr>
            <w:r>
              <w:rPr>
                <w:kern w:val="0"/>
                <w:sz w:val="18"/>
                <w:szCs w:val="18"/>
              </w:rPr>
              <w:t>国家自然科学奖</w:t>
            </w:r>
          </w:p>
        </w:tc>
        <w:tc>
          <w:tcPr>
            <w:tcW w:w="1699" w:type="dxa"/>
            <w:gridSpan w:val="4"/>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一等奖</w:t>
            </w:r>
          </w:p>
        </w:tc>
        <w:tc>
          <w:tcPr>
            <w:tcW w:w="1005" w:type="dxa"/>
            <w:gridSpan w:val="3"/>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0 </w:t>
            </w:r>
            <w:r>
              <w:rPr>
                <w:kern w:val="0"/>
                <w:sz w:val="18"/>
                <w:szCs w:val="18"/>
              </w:rPr>
              <w:t>项　</w:t>
            </w:r>
          </w:p>
        </w:tc>
        <w:tc>
          <w:tcPr>
            <w:tcW w:w="1681" w:type="dxa"/>
            <w:gridSpan w:val="4"/>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二等奖</w:t>
            </w:r>
          </w:p>
        </w:tc>
        <w:tc>
          <w:tcPr>
            <w:tcW w:w="1088" w:type="dxa"/>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0 </w:t>
            </w:r>
            <w:r>
              <w:rPr>
                <w:kern w:val="0"/>
                <w:sz w:val="18"/>
                <w:szCs w:val="18"/>
              </w:rPr>
              <w:t>项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kern w:val="0"/>
                <w:sz w:val="18"/>
                <w:szCs w:val="18"/>
              </w:rPr>
            </w:pPr>
          </w:p>
        </w:tc>
        <w:tc>
          <w:tcPr>
            <w:tcW w:w="1741" w:type="dxa"/>
            <w:gridSpan w:val="3"/>
            <w:tcBorders>
              <w:top w:val="single" w:color="auto" w:sz="2" w:space="0"/>
              <w:bottom w:val="single" w:color="auto" w:sz="2" w:space="0"/>
            </w:tcBorders>
            <w:noWrap/>
            <w:tcMar>
              <w:left w:w="57" w:type="dxa"/>
              <w:right w:w="0" w:type="dxa"/>
            </w:tcMar>
            <w:vAlign w:val="center"/>
          </w:tcPr>
          <w:p>
            <w:pPr>
              <w:widowControl/>
              <w:adjustRightInd w:val="0"/>
              <w:snapToGrid w:val="0"/>
              <w:jc w:val="center"/>
              <w:rPr>
                <w:kern w:val="0"/>
                <w:sz w:val="18"/>
                <w:szCs w:val="18"/>
              </w:rPr>
            </w:pPr>
            <w:r>
              <w:rPr>
                <w:kern w:val="0"/>
                <w:sz w:val="18"/>
                <w:szCs w:val="18"/>
              </w:rPr>
              <w:t>国家                                                                                                                                                                                                                                                                                                                                                                        技术发明奖</w:t>
            </w:r>
          </w:p>
        </w:tc>
        <w:tc>
          <w:tcPr>
            <w:tcW w:w="1699" w:type="dxa"/>
            <w:gridSpan w:val="4"/>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一等奖</w:t>
            </w:r>
          </w:p>
        </w:tc>
        <w:tc>
          <w:tcPr>
            <w:tcW w:w="1005" w:type="dxa"/>
            <w:gridSpan w:val="3"/>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0 </w:t>
            </w:r>
            <w:r>
              <w:rPr>
                <w:kern w:val="0"/>
                <w:sz w:val="18"/>
                <w:szCs w:val="18"/>
              </w:rPr>
              <w:t>项　</w:t>
            </w:r>
          </w:p>
        </w:tc>
        <w:tc>
          <w:tcPr>
            <w:tcW w:w="1681" w:type="dxa"/>
            <w:gridSpan w:val="4"/>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二等奖</w:t>
            </w:r>
          </w:p>
        </w:tc>
        <w:tc>
          <w:tcPr>
            <w:tcW w:w="1088" w:type="dxa"/>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0 </w:t>
            </w:r>
            <w:r>
              <w:rPr>
                <w:kern w:val="0"/>
                <w:sz w:val="18"/>
                <w:szCs w:val="18"/>
              </w:rPr>
              <w:t>项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kern w:val="0"/>
                <w:sz w:val="18"/>
                <w:szCs w:val="18"/>
              </w:rPr>
            </w:pPr>
          </w:p>
        </w:tc>
        <w:tc>
          <w:tcPr>
            <w:tcW w:w="1741" w:type="dxa"/>
            <w:gridSpan w:val="3"/>
            <w:tcBorders>
              <w:top w:val="single" w:color="auto" w:sz="2" w:space="0"/>
              <w:bottom w:val="single" w:color="auto" w:sz="2" w:space="0"/>
            </w:tcBorders>
            <w:noWrap/>
            <w:tcMar>
              <w:left w:w="57" w:type="dxa"/>
              <w:right w:w="0" w:type="dxa"/>
            </w:tcMar>
            <w:vAlign w:val="center"/>
          </w:tcPr>
          <w:p>
            <w:pPr>
              <w:widowControl/>
              <w:adjustRightInd w:val="0"/>
              <w:snapToGrid w:val="0"/>
              <w:jc w:val="center"/>
              <w:rPr>
                <w:kern w:val="0"/>
                <w:sz w:val="18"/>
                <w:szCs w:val="18"/>
              </w:rPr>
            </w:pPr>
            <w:r>
              <w:rPr>
                <w:kern w:val="0"/>
                <w:sz w:val="18"/>
                <w:szCs w:val="18"/>
              </w:rPr>
              <w:t>国家科学技术进步奖</w:t>
            </w:r>
          </w:p>
        </w:tc>
        <w:tc>
          <w:tcPr>
            <w:tcW w:w="1699" w:type="dxa"/>
            <w:gridSpan w:val="4"/>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一等奖</w:t>
            </w:r>
          </w:p>
        </w:tc>
        <w:tc>
          <w:tcPr>
            <w:tcW w:w="1005" w:type="dxa"/>
            <w:gridSpan w:val="3"/>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0 </w:t>
            </w:r>
            <w:r>
              <w:rPr>
                <w:kern w:val="0"/>
                <w:sz w:val="18"/>
                <w:szCs w:val="18"/>
              </w:rPr>
              <w:t>项　</w:t>
            </w:r>
          </w:p>
        </w:tc>
        <w:tc>
          <w:tcPr>
            <w:tcW w:w="1681" w:type="dxa"/>
            <w:gridSpan w:val="4"/>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二等奖</w:t>
            </w:r>
          </w:p>
        </w:tc>
        <w:tc>
          <w:tcPr>
            <w:tcW w:w="1088" w:type="dxa"/>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0 </w:t>
            </w:r>
            <w:r>
              <w:rPr>
                <w:kern w:val="0"/>
                <w:sz w:val="18"/>
                <w:szCs w:val="18"/>
              </w:rPr>
              <w:t>项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kern w:val="0"/>
                <w:sz w:val="18"/>
                <w:szCs w:val="18"/>
              </w:rPr>
            </w:pPr>
          </w:p>
        </w:tc>
        <w:tc>
          <w:tcPr>
            <w:tcW w:w="1741" w:type="dxa"/>
            <w:gridSpan w:val="3"/>
            <w:tcBorders>
              <w:top w:val="single" w:color="auto" w:sz="2" w:space="0"/>
              <w:bottom w:val="single" w:color="auto" w:sz="2" w:space="0"/>
            </w:tcBorders>
            <w:noWrap/>
            <w:tcMar>
              <w:left w:w="57" w:type="dxa"/>
              <w:right w:w="0" w:type="dxa"/>
            </w:tcMar>
            <w:vAlign w:val="center"/>
          </w:tcPr>
          <w:p>
            <w:pPr>
              <w:widowControl/>
              <w:adjustRightInd w:val="0"/>
              <w:snapToGrid w:val="0"/>
              <w:jc w:val="center"/>
              <w:rPr>
                <w:kern w:val="0"/>
                <w:sz w:val="18"/>
                <w:szCs w:val="18"/>
              </w:rPr>
            </w:pPr>
            <w:r>
              <w:rPr>
                <w:kern w:val="0"/>
                <w:sz w:val="18"/>
                <w:szCs w:val="18"/>
              </w:rPr>
              <w:t>省、部级科技奖励</w:t>
            </w:r>
          </w:p>
        </w:tc>
        <w:tc>
          <w:tcPr>
            <w:tcW w:w="1699" w:type="dxa"/>
            <w:gridSpan w:val="4"/>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一等奖</w:t>
            </w:r>
          </w:p>
        </w:tc>
        <w:tc>
          <w:tcPr>
            <w:tcW w:w="1005" w:type="dxa"/>
            <w:gridSpan w:val="3"/>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4.5</w:t>
            </w:r>
            <w:r>
              <w:rPr>
                <w:kern w:val="0"/>
                <w:sz w:val="18"/>
                <w:szCs w:val="18"/>
              </w:rPr>
              <w:t>项　</w:t>
            </w:r>
          </w:p>
        </w:tc>
        <w:tc>
          <w:tcPr>
            <w:tcW w:w="1681" w:type="dxa"/>
            <w:gridSpan w:val="4"/>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二等奖</w:t>
            </w:r>
          </w:p>
        </w:tc>
        <w:tc>
          <w:tcPr>
            <w:tcW w:w="1088" w:type="dxa"/>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2.2 </w:t>
            </w:r>
            <w:r>
              <w:rPr>
                <w:kern w:val="0"/>
                <w:sz w:val="18"/>
                <w:szCs w:val="18"/>
              </w:rPr>
              <w:t>项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restart"/>
            <w:tcBorders>
              <w:top w:val="single" w:color="auto" w:sz="2" w:space="0"/>
              <w:bottom w:val="single" w:color="auto" w:sz="2" w:space="0"/>
            </w:tcBorders>
            <w:vAlign w:val="center"/>
          </w:tcPr>
          <w:p>
            <w:pPr>
              <w:widowControl/>
              <w:adjustRightInd w:val="0"/>
              <w:snapToGrid w:val="0"/>
              <w:jc w:val="center"/>
              <w:rPr>
                <w:kern w:val="0"/>
                <w:sz w:val="18"/>
                <w:szCs w:val="18"/>
              </w:rPr>
            </w:pPr>
            <w:r>
              <w:rPr>
                <w:kern w:val="0"/>
                <w:sz w:val="18"/>
                <w:szCs w:val="18"/>
              </w:rPr>
              <w:t>承担任务</w:t>
            </w:r>
          </w:p>
          <w:p>
            <w:pPr>
              <w:widowControl/>
              <w:adjustRightInd w:val="0"/>
              <w:snapToGrid w:val="0"/>
              <w:jc w:val="center"/>
              <w:rPr>
                <w:kern w:val="0"/>
                <w:sz w:val="18"/>
                <w:szCs w:val="18"/>
              </w:rPr>
            </w:pPr>
            <w:r>
              <w:rPr>
                <w:kern w:val="0"/>
                <w:sz w:val="18"/>
                <w:szCs w:val="18"/>
              </w:rPr>
              <w:t>研究经费</w:t>
            </w:r>
          </w:p>
        </w:tc>
        <w:tc>
          <w:tcPr>
            <w:tcW w:w="1741" w:type="dxa"/>
            <w:gridSpan w:val="3"/>
            <w:tcBorders>
              <w:top w:val="single" w:color="auto" w:sz="2" w:space="0"/>
              <w:bottom w:val="single" w:color="auto" w:sz="2" w:space="0"/>
            </w:tcBorders>
            <w:noWrap/>
            <w:tcMar>
              <w:left w:w="57" w:type="dxa"/>
              <w:right w:w="0" w:type="dxa"/>
            </w:tcMar>
            <w:vAlign w:val="center"/>
          </w:tcPr>
          <w:p>
            <w:pPr>
              <w:widowControl/>
              <w:adjustRightInd w:val="0"/>
              <w:snapToGrid w:val="0"/>
              <w:jc w:val="center"/>
              <w:rPr>
                <w:kern w:val="0"/>
                <w:sz w:val="18"/>
                <w:szCs w:val="18"/>
              </w:rPr>
            </w:pPr>
            <w:r>
              <w:rPr>
                <w:kern w:val="0"/>
                <w:sz w:val="18"/>
                <w:szCs w:val="18"/>
              </w:rPr>
              <w:t>5年项目到账总经费</w:t>
            </w:r>
          </w:p>
        </w:tc>
        <w:tc>
          <w:tcPr>
            <w:tcW w:w="1699" w:type="dxa"/>
            <w:gridSpan w:val="4"/>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92</w:t>
            </w:r>
            <w:r>
              <w:rPr>
                <w:kern w:val="0"/>
                <w:sz w:val="18"/>
                <w:szCs w:val="18"/>
              </w:rPr>
              <w:t>56万元</w:t>
            </w:r>
          </w:p>
        </w:tc>
        <w:tc>
          <w:tcPr>
            <w:tcW w:w="2686" w:type="dxa"/>
            <w:gridSpan w:val="7"/>
            <w:tcBorders>
              <w:top w:val="single" w:color="auto" w:sz="2" w:space="0"/>
              <w:bottom w:val="single" w:color="auto" w:sz="2" w:space="0"/>
            </w:tcBorders>
            <w:noWrap/>
            <w:vAlign w:val="center"/>
          </w:tcPr>
          <w:p>
            <w:pPr>
              <w:adjustRightInd w:val="0"/>
              <w:snapToGrid w:val="0"/>
              <w:jc w:val="center"/>
              <w:rPr>
                <w:kern w:val="0"/>
                <w:sz w:val="18"/>
                <w:szCs w:val="18"/>
              </w:rPr>
            </w:pPr>
            <w:r>
              <w:rPr>
                <w:kern w:val="0"/>
                <w:sz w:val="18"/>
                <w:szCs w:val="18"/>
              </w:rPr>
              <w:t>前25项重点任务</w:t>
            </w:r>
          </w:p>
        </w:tc>
        <w:tc>
          <w:tcPr>
            <w:tcW w:w="1088" w:type="dxa"/>
            <w:tcBorders>
              <w:top w:val="single" w:color="auto" w:sz="2" w:space="0"/>
              <w:bottom w:val="single" w:color="auto" w:sz="2" w:space="0"/>
            </w:tcBorders>
            <w:noWrap/>
            <w:vAlign w:val="center"/>
          </w:tcPr>
          <w:p>
            <w:pPr>
              <w:adjustRightInd w:val="0"/>
              <w:snapToGrid w:val="0"/>
              <w:ind w:left="-15" w:leftChars="-74" w:right="-103" w:rightChars="-49" w:hanging="140" w:hangingChars="78"/>
              <w:jc w:val="right"/>
              <w:rPr>
                <w:kern w:val="0"/>
                <w:sz w:val="18"/>
                <w:szCs w:val="18"/>
              </w:rPr>
            </w:pPr>
            <w:r>
              <w:rPr>
                <w:rFonts w:hint="eastAsia"/>
                <w:kern w:val="0"/>
                <w:sz w:val="18"/>
                <w:szCs w:val="18"/>
              </w:rPr>
              <w:t>4959.64</w:t>
            </w:r>
            <w:r>
              <w:rPr>
                <w:kern w:val="0"/>
                <w:sz w:val="18"/>
                <w:szCs w:val="18"/>
              </w:rPr>
              <w:t>万元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kern w:val="0"/>
                <w:sz w:val="18"/>
                <w:szCs w:val="18"/>
              </w:rPr>
            </w:pPr>
          </w:p>
        </w:tc>
        <w:tc>
          <w:tcPr>
            <w:tcW w:w="896" w:type="dxa"/>
            <w:tcBorders>
              <w:top w:val="single" w:color="auto" w:sz="2" w:space="0"/>
              <w:bottom w:val="single" w:color="auto" w:sz="2" w:space="0"/>
            </w:tcBorders>
            <w:noWrap/>
            <w:tcMar>
              <w:left w:w="0" w:type="dxa"/>
              <w:right w:w="0" w:type="dxa"/>
            </w:tcMar>
            <w:vAlign w:val="center"/>
          </w:tcPr>
          <w:p>
            <w:pPr>
              <w:widowControl/>
              <w:adjustRightInd w:val="0"/>
              <w:snapToGrid w:val="0"/>
              <w:jc w:val="center"/>
              <w:rPr>
                <w:kern w:val="0"/>
                <w:sz w:val="18"/>
                <w:szCs w:val="18"/>
              </w:rPr>
            </w:pPr>
            <w:r>
              <w:rPr>
                <w:kern w:val="0"/>
                <w:sz w:val="18"/>
                <w:szCs w:val="18"/>
              </w:rPr>
              <w:t>纵向经费</w:t>
            </w:r>
          </w:p>
        </w:tc>
        <w:tc>
          <w:tcPr>
            <w:tcW w:w="845" w:type="dxa"/>
            <w:gridSpan w:val="2"/>
            <w:tcBorders>
              <w:top w:val="single" w:color="auto" w:sz="2" w:space="0"/>
              <w:bottom w:val="single" w:color="auto" w:sz="2" w:space="0"/>
            </w:tcBorders>
            <w:tcMar>
              <w:left w:w="0" w:type="dxa"/>
              <w:right w:w="0" w:type="dxa"/>
            </w:tcMar>
            <w:vAlign w:val="center"/>
          </w:tcPr>
          <w:p>
            <w:pPr>
              <w:widowControl/>
              <w:adjustRightInd w:val="0"/>
              <w:snapToGrid w:val="0"/>
              <w:jc w:val="right"/>
              <w:rPr>
                <w:kern w:val="0"/>
                <w:sz w:val="18"/>
                <w:szCs w:val="18"/>
              </w:rPr>
            </w:pPr>
            <w:r>
              <w:rPr>
                <w:rFonts w:hint="eastAsia"/>
                <w:kern w:val="0"/>
                <w:sz w:val="18"/>
                <w:szCs w:val="18"/>
              </w:rPr>
              <w:t xml:space="preserve">4938 </w:t>
            </w:r>
            <w:r>
              <w:rPr>
                <w:kern w:val="0"/>
                <w:sz w:val="18"/>
                <w:szCs w:val="18"/>
              </w:rPr>
              <w:t>万元</w:t>
            </w:r>
          </w:p>
        </w:tc>
        <w:tc>
          <w:tcPr>
            <w:tcW w:w="856" w:type="dxa"/>
            <w:gridSpan w:val="3"/>
            <w:tcBorders>
              <w:top w:val="single" w:color="auto" w:sz="2" w:space="0"/>
              <w:bottom w:val="single" w:color="auto" w:sz="2" w:space="0"/>
            </w:tcBorders>
            <w:noWrap/>
            <w:tcMar>
              <w:left w:w="0" w:type="dxa"/>
              <w:right w:w="0" w:type="dxa"/>
            </w:tcMar>
            <w:vAlign w:val="center"/>
          </w:tcPr>
          <w:p>
            <w:pPr>
              <w:widowControl/>
              <w:tabs>
                <w:tab w:val="left" w:pos="0"/>
              </w:tabs>
              <w:adjustRightInd w:val="0"/>
              <w:snapToGrid w:val="0"/>
              <w:ind w:right="-5"/>
              <w:jc w:val="center"/>
              <w:rPr>
                <w:kern w:val="0"/>
                <w:sz w:val="18"/>
                <w:szCs w:val="18"/>
              </w:rPr>
            </w:pPr>
            <w:r>
              <w:rPr>
                <w:kern w:val="0"/>
                <w:sz w:val="18"/>
                <w:szCs w:val="18"/>
              </w:rPr>
              <w:t>横向经费</w:t>
            </w:r>
          </w:p>
        </w:tc>
        <w:tc>
          <w:tcPr>
            <w:tcW w:w="843" w:type="dxa"/>
            <w:tcBorders>
              <w:top w:val="single" w:color="auto" w:sz="2" w:space="0"/>
              <w:bottom w:val="single" w:color="auto" w:sz="2" w:space="0"/>
            </w:tcBorders>
            <w:tcMar>
              <w:left w:w="0" w:type="dxa"/>
              <w:right w:w="0" w:type="dxa"/>
            </w:tcMar>
            <w:vAlign w:val="center"/>
          </w:tcPr>
          <w:p>
            <w:pPr>
              <w:widowControl/>
              <w:adjustRightInd w:val="0"/>
              <w:snapToGrid w:val="0"/>
              <w:jc w:val="right"/>
              <w:rPr>
                <w:kern w:val="0"/>
                <w:sz w:val="18"/>
                <w:szCs w:val="18"/>
              </w:rPr>
            </w:pPr>
            <w:r>
              <w:rPr>
                <w:rFonts w:hint="eastAsia"/>
                <w:kern w:val="0"/>
                <w:sz w:val="18"/>
                <w:szCs w:val="18"/>
              </w:rPr>
              <w:t xml:space="preserve">30 </w:t>
            </w:r>
            <w:r>
              <w:rPr>
                <w:kern w:val="0"/>
                <w:sz w:val="18"/>
                <w:szCs w:val="18"/>
              </w:rPr>
              <w:t>万元</w:t>
            </w:r>
          </w:p>
        </w:tc>
        <w:tc>
          <w:tcPr>
            <w:tcW w:w="2686" w:type="dxa"/>
            <w:gridSpan w:val="7"/>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人均经费</w:t>
            </w:r>
          </w:p>
          <w:p>
            <w:pPr>
              <w:widowControl/>
              <w:adjustRightInd w:val="0"/>
              <w:snapToGrid w:val="0"/>
              <w:jc w:val="center"/>
              <w:rPr>
                <w:kern w:val="0"/>
                <w:sz w:val="18"/>
                <w:szCs w:val="18"/>
              </w:rPr>
            </w:pPr>
            <w:r>
              <w:rPr>
                <w:kern w:val="0"/>
                <w:sz w:val="18"/>
                <w:szCs w:val="18"/>
              </w:rPr>
              <w:t>(纵向+横向)/实验室人员数</w:t>
            </w:r>
          </w:p>
        </w:tc>
        <w:tc>
          <w:tcPr>
            <w:tcW w:w="1088" w:type="dxa"/>
            <w:tcBorders>
              <w:top w:val="single" w:color="auto" w:sz="2" w:space="0"/>
              <w:bottom w:val="single" w:color="auto" w:sz="2" w:space="0"/>
            </w:tcBorders>
            <w:noWrap/>
            <w:tcMar>
              <w:left w:w="0" w:type="dxa"/>
              <w:right w:w="0" w:type="dxa"/>
            </w:tcMar>
            <w:vAlign w:val="center"/>
          </w:tcPr>
          <w:p>
            <w:pPr>
              <w:adjustRightInd w:val="0"/>
              <w:snapToGrid w:val="0"/>
              <w:jc w:val="right"/>
              <w:rPr>
                <w:kern w:val="0"/>
                <w:sz w:val="18"/>
                <w:szCs w:val="18"/>
              </w:rPr>
            </w:pPr>
            <w:r>
              <w:rPr>
                <w:rFonts w:hint="eastAsia"/>
                <w:kern w:val="0"/>
                <w:sz w:val="18"/>
                <w:szCs w:val="18"/>
              </w:rPr>
              <w:t>185</w:t>
            </w:r>
            <w:r>
              <w:rPr>
                <w:kern w:val="0"/>
                <w:sz w:val="18"/>
                <w:szCs w:val="18"/>
              </w:rPr>
              <w:t>万元/人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restart"/>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发明专利与</w:t>
            </w:r>
          </w:p>
          <w:p>
            <w:pPr>
              <w:widowControl/>
              <w:adjustRightInd w:val="0"/>
              <w:snapToGrid w:val="0"/>
              <w:jc w:val="center"/>
              <w:rPr>
                <w:kern w:val="0"/>
                <w:sz w:val="18"/>
                <w:szCs w:val="18"/>
              </w:rPr>
            </w:pPr>
            <w:r>
              <w:rPr>
                <w:kern w:val="0"/>
                <w:sz w:val="18"/>
                <w:szCs w:val="18"/>
              </w:rPr>
              <w:t>成果转化</w:t>
            </w:r>
          </w:p>
        </w:tc>
        <w:tc>
          <w:tcPr>
            <w:tcW w:w="1741" w:type="dxa"/>
            <w:gridSpan w:val="3"/>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发明专利</w:t>
            </w:r>
          </w:p>
        </w:tc>
        <w:tc>
          <w:tcPr>
            <w:tcW w:w="1699" w:type="dxa"/>
            <w:gridSpan w:val="4"/>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申请数</w:t>
            </w:r>
          </w:p>
        </w:tc>
        <w:tc>
          <w:tcPr>
            <w:tcW w:w="1005" w:type="dxa"/>
            <w:gridSpan w:val="3"/>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246 </w:t>
            </w:r>
            <w:r>
              <w:rPr>
                <w:kern w:val="0"/>
                <w:sz w:val="18"/>
                <w:szCs w:val="18"/>
              </w:rPr>
              <w:t>项</w:t>
            </w:r>
          </w:p>
        </w:tc>
        <w:tc>
          <w:tcPr>
            <w:tcW w:w="1681" w:type="dxa"/>
            <w:gridSpan w:val="4"/>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授权数</w:t>
            </w:r>
          </w:p>
        </w:tc>
        <w:tc>
          <w:tcPr>
            <w:tcW w:w="1088" w:type="dxa"/>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138</w:t>
            </w:r>
            <w:r>
              <w:rPr>
                <w:kern w:val="0"/>
                <w:sz w:val="18"/>
                <w:szCs w:val="18"/>
              </w:rPr>
              <w:t>项</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kern w:val="0"/>
                <w:sz w:val="18"/>
                <w:szCs w:val="18"/>
              </w:rPr>
            </w:pPr>
          </w:p>
        </w:tc>
        <w:tc>
          <w:tcPr>
            <w:tcW w:w="1741" w:type="dxa"/>
            <w:gridSpan w:val="3"/>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成果转化</w:t>
            </w:r>
          </w:p>
        </w:tc>
        <w:tc>
          <w:tcPr>
            <w:tcW w:w="1699" w:type="dxa"/>
            <w:gridSpan w:val="4"/>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转化数</w:t>
            </w:r>
          </w:p>
        </w:tc>
        <w:tc>
          <w:tcPr>
            <w:tcW w:w="1005" w:type="dxa"/>
            <w:gridSpan w:val="3"/>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3 </w:t>
            </w:r>
            <w:r>
              <w:rPr>
                <w:kern w:val="0"/>
                <w:sz w:val="18"/>
                <w:szCs w:val="18"/>
              </w:rPr>
              <w:t>项</w:t>
            </w:r>
          </w:p>
        </w:tc>
        <w:tc>
          <w:tcPr>
            <w:tcW w:w="1681" w:type="dxa"/>
            <w:gridSpan w:val="4"/>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转化总经费</w:t>
            </w:r>
          </w:p>
        </w:tc>
        <w:tc>
          <w:tcPr>
            <w:tcW w:w="1088" w:type="dxa"/>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lang w:val="en-US" w:eastAsia="zh-CN"/>
              </w:rPr>
              <w:t>32万</w:t>
            </w:r>
            <w:r>
              <w:rPr>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tcBorders>
              <w:top w:val="single" w:color="auto" w:sz="2" w:space="0"/>
              <w:bottom w:val="single" w:color="auto" w:sz="2" w:space="0"/>
            </w:tcBorders>
            <w:vAlign w:val="center"/>
          </w:tcPr>
          <w:p>
            <w:pPr>
              <w:widowControl/>
              <w:adjustRightInd w:val="0"/>
              <w:snapToGrid w:val="0"/>
              <w:jc w:val="center"/>
              <w:rPr>
                <w:kern w:val="0"/>
                <w:sz w:val="18"/>
                <w:szCs w:val="18"/>
              </w:rPr>
            </w:pPr>
            <w:r>
              <w:rPr>
                <w:kern w:val="0"/>
                <w:sz w:val="18"/>
                <w:szCs w:val="18"/>
              </w:rPr>
              <w:t>标准与规范</w:t>
            </w:r>
          </w:p>
        </w:tc>
        <w:tc>
          <w:tcPr>
            <w:tcW w:w="1741" w:type="dxa"/>
            <w:gridSpan w:val="3"/>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国家标准</w:t>
            </w:r>
          </w:p>
        </w:tc>
        <w:tc>
          <w:tcPr>
            <w:tcW w:w="2704" w:type="dxa"/>
            <w:gridSpan w:val="7"/>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0 </w:t>
            </w:r>
            <w:r>
              <w:rPr>
                <w:kern w:val="0"/>
                <w:sz w:val="18"/>
                <w:szCs w:val="18"/>
              </w:rPr>
              <w:t>项</w:t>
            </w:r>
          </w:p>
        </w:tc>
        <w:tc>
          <w:tcPr>
            <w:tcW w:w="1681" w:type="dxa"/>
            <w:gridSpan w:val="4"/>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行业/地方标准</w:t>
            </w:r>
          </w:p>
        </w:tc>
        <w:tc>
          <w:tcPr>
            <w:tcW w:w="1088" w:type="dxa"/>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1 </w:t>
            </w:r>
            <w:r>
              <w:rPr>
                <w:kern w:val="0"/>
                <w:sz w:val="18"/>
                <w:szCs w:val="18"/>
              </w:rPr>
              <w:t>项</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restart"/>
            <w:tcBorders>
              <w:top w:val="single" w:color="auto" w:sz="2" w:space="0"/>
              <w:bottom w:val="single" w:color="auto" w:sz="2" w:space="0"/>
            </w:tcBorders>
            <w:tcMar>
              <w:left w:w="0" w:type="dxa"/>
              <w:right w:w="0" w:type="dxa"/>
            </w:tcMar>
            <w:vAlign w:val="center"/>
          </w:tcPr>
          <w:p>
            <w:pPr>
              <w:widowControl/>
              <w:adjustRightInd w:val="0"/>
              <w:snapToGrid w:val="0"/>
              <w:jc w:val="center"/>
              <w:rPr>
                <w:kern w:val="0"/>
                <w:sz w:val="18"/>
                <w:szCs w:val="18"/>
              </w:rPr>
            </w:pPr>
            <w:r>
              <w:rPr>
                <w:kern w:val="0"/>
                <w:sz w:val="18"/>
                <w:szCs w:val="18"/>
              </w:rPr>
              <w:t>代表性</w:t>
            </w:r>
          </w:p>
          <w:p>
            <w:pPr>
              <w:widowControl/>
              <w:adjustRightInd w:val="0"/>
              <w:snapToGrid w:val="0"/>
              <w:jc w:val="center"/>
              <w:rPr>
                <w:kern w:val="0"/>
                <w:sz w:val="18"/>
                <w:szCs w:val="18"/>
              </w:rPr>
            </w:pPr>
            <w:r>
              <w:rPr>
                <w:kern w:val="0"/>
                <w:sz w:val="18"/>
                <w:szCs w:val="18"/>
              </w:rPr>
              <w:t>研究成果</w:t>
            </w:r>
          </w:p>
          <w:p>
            <w:pPr>
              <w:widowControl/>
              <w:adjustRightInd w:val="0"/>
              <w:snapToGrid w:val="0"/>
              <w:jc w:val="center"/>
              <w:rPr>
                <w:kern w:val="0"/>
                <w:sz w:val="18"/>
                <w:szCs w:val="18"/>
              </w:rPr>
            </w:pPr>
            <w:r>
              <w:rPr>
                <w:kern w:val="0"/>
                <w:sz w:val="18"/>
                <w:szCs w:val="18"/>
              </w:rPr>
              <w:t>(不超过5项)</w:t>
            </w:r>
          </w:p>
        </w:tc>
        <w:tc>
          <w:tcPr>
            <w:tcW w:w="896" w:type="dxa"/>
            <w:tcBorders>
              <w:top w:val="single" w:color="auto" w:sz="2" w:space="0"/>
              <w:bottom w:val="single" w:color="auto" w:sz="2" w:space="0"/>
            </w:tcBorders>
            <w:noWrap/>
            <w:vAlign w:val="center"/>
          </w:tcPr>
          <w:p>
            <w:pPr>
              <w:widowControl/>
              <w:adjustRightInd w:val="0"/>
              <w:snapToGrid w:val="0"/>
              <w:jc w:val="center"/>
              <w:rPr>
                <w:b/>
                <w:kern w:val="0"/>
                <w:sz w:val="18"/>
                <w:szCs w:val="18"/>
              </w:rPr>
            </w:pPr>
            <w:r>
              <w:rPr>
                <w:b/>
                <w:kern w:val="0"/>
                <w:sz w:val="18"/>
                <w:szCs w:val="18"/>
              </w:rPr>
              <w:t>序号</w:t>
            </w:r>
          </w:p>
        </w:tc>
        <w:tc>
          <w:tcPr>
            <w:tcW w:w="5230" w:type="dxa"/>
            <w:gridSpan w:val="13"/>
            <w:tcBorders>
              <w:top w:val="single" w:color="auto" w:sz="2" w:space="0"/>
              <w:bottom w:val="single" w:color="auto" w:sz="2" w:space="0"/>
            </w:tcBorders>
            <w:noWrap/>
            <w:vAlign w:val="center"/>
          </w:tcPr>
          <w:p>
            <w:pPr>
              <w:adjustRightInd w:val="0"/>
              <w:snapToGrid w:val="0"/>
              <w:jc w:val="center"/>
              <w:rPr>
                <w:b/>
                <w:kern w:val="0"/>
                <w:sz w:val="18"/>
                <w:szCs w:val="18"/>
              </w:rPr>
            </w:pPr>
            <w:r>
              <w:rPr>
                <w:b/>
                <w:kern w:val="0"/>
                <w:sz w:val="18"/>
                <w:szCs w:val="18"/>
              </w:rPr>
              <w:t>成果名称</w:t>
            </w:r>
          </w:p>
        </w:tc>
        <w:tc>
          <w:tcPr>
            <w:tcW w:w="1088" w:type="dxa"/>
            <w:tcBorders>
              <w:top w:val="single" w:color="auto" w:sz="2" w:space="0"/>
              <w:bottom w:val="single" w:color="auto" w:sz="2" w:space="0"/>
            </w:tcBorders>
            <w:noWrap/>
            <w:vAlign w:val="center"/>
          </w:tcPr>
          <w:p>
            <w:pPr>
              <w:widowControl/>
              <w:adjustRightInd w:val="0"/>
              <w:snapToGrid w:val="0"/>
              <w:jc w:val="center"/>
              <w:rPr>
                <w:b/>
                <w:kern w:val="0"/>
                <w:sz w:val="18"/>
                <w:szCs w:val="18"/>
              </w:rPr>
            </w:pPr>
            <w:r>
              <w:rPr>
                <w:b/>
                <w:kern w:val="0"/>
                <w:sz w:val="18"/>
                <w:szCs w:val="18"/>
              </w:rPr>
              <w:t>成果形式</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kern w:val="0"/>
                <w:sz w:val="18"/>
                <w:szCs w:val="18"/>
              </w:rPr>
            </w:pPr>
          </w:p>
        </w:tc>
        <w:tc>
          <w:tcPr>
            <w:tcW w:w="896" w:type="dxa"/>
            <w:tcBorders>
              <w:top w:val="single" w:color="auto" w:sz="2" w:space="0"/>
              <w:bottom w:val="single" w:color="auto" w:sz="2" w:space="0"/>
            </w:tcBorders>
            <w:noWrap/>
            <w:tcMar>
              <w:left w:w="0" w:type="dxa"/>
              <w:right w:w="0" w:type="dxa"/>
            </w:tcMar>
            <w:vAlign w:val="center"/>
          </w:tcPr>
          <w:p>
            <w:pPr>
              <w:widowControl/>
              <w:adjustRightInd w:val="0"/>
              <w:snapToGrid w:val="0"/>
              <w:jc w:val="center"/>
              <w:rPr>
                <w:kern w:val="0"/>
                <w:sz w:val="18"/>
                <w:szCs w:val="18"/>
              </w:rPr>
            </w:pPr>
            <w:r>
              <w:rPr>
                <w:kern w:val="0"/>
                <w:sz w:val="18"/>
                <w:szCs w:val="18"/>
              </w:rPr>
              <w:t>第1项</w:t>
            </w:r>
          </w:p>
        </w:tc>
        <w:tc>
          <w:tcPr>
            <w:tcW w:w="5230" w:type="dxa"/>
            <w:gridSpan w:val="13"/>
            <w:tcBorders>
              <w:top w:val="single" w:color="auto" w:sz="2" w:space="0"/>
              <w:bottom w:val="single" w:color="auto" w:sz="2" w:space="0"/>
            </w:tcBorders>
            <w:noWrap/>
            <w:tcMar>
              <w:left w:w="0" w:type="dxa"/>
              <w:right w:w="0" w:type="dxa"/>
            </w:tcMar>
            <w:vAlign w:val="center"/>
          </w:tcPr>
          <w:p>
            <w:pPr>
              <w:ind w:left="76" w:leftChars="36" w:right="48" w:rightChars="23" w:firstLine="75" w:firstLineChars="42"/>
              <w:rPr>
                <w:kern w:val="0"/>
                <w:sz w:val="18"/>
                <w:szCs w:val="18"/>
              </w:rPr>
            </w:pPr>
            <w:r>
              <w:rPr>
                <w:rFonts w:hint="eastAsia"/>
                <w:kern w:val="0"/>
                <w:sz w:val="18"/>
                <w:szCs w:val="18"/>
              </w:rPr>
              <w:t>基于DNA、蛋白质靶标中药活性成分金属抗肿瘤配合物的发现和递送</w:t>
            </w:r>
          </w:p>
        </w:tc>
        <w:tc>
          <w:tcPr>
            <w:tcW w:w="1088" w:type="dxa"/>
            <w:tcBorders>
              <w:top w:val="single" w:color="auto" w:sz="2" w:space="0"/>
              <w:bottom w:val="single" w:color="auto" w:sz="2" w:space="0"/>
            </w:tcBorders>
            <w:noWrap/>
            <w:tcMar>
              <w:left w:w="0" w:type="dxa"/>
              <w:right w:w="0" w:type="dxa"/>
            </w:tcMar>
            <w:vAlign w:val="center"/>
          </w:tcPr>
          <w:p>
            <w:pPr>
              <w:jc w:val="center"/>
              <w:rPr>
                <w:kern w:val="0"/>
                <w:sz w:val="18"/>
                <w:szCs w:val="18"/>
              </w:rPr>
            </w:pPr>
            <w:r>
              <w:rPr>
                <w:rFonts w:hint="eastAsia"/>
                <w:kern w:val="0"/>
                <w:sz w:val="18"/>
                <w:szCs w:val="18"/>
              </w:rPr>
              <w:t>论文和专利</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kern w:val="0"/>
                <w:sz w:val="18"/>
                <w:szCs w:val="18"/>
              </w:rPr>
            </w:pPr>
          </w:p>
        </w:tc>
        <w:tc>
          <w:tcPr>
            <w:tcW w:w="896" w:type="dxa"/>
            <w:tcBorders>
              <w:top w:val="single" w:color="auto" w:sz="2" w:space="0"/>
              <w:bottom w:val="single" w:color="auto" w:sz="2" w:space="0"/>
            </w:tcBorders>
            <w:noWrap/>
            <w:tcMar>
              <w:left w:w="0" w:type="dxa"/>
              <w:right w:w="0" w:type="dxa"/>
            </w:tcMar>
            <w:vAlign w:val="center"/>
          </w:tcPr>
          <w:p>
            <w:pPr>
              <w:widowControl/>
              <w:adjustRightInd w:val="0"/>
              <w:snapToGrid w:val="0"/>
              <w:jc w:val="center"/>
              <w:rPr>
                <w:kern w:val="0"/>
                <w:sz w:val="18"/>
                <w:szCs w:val="18"/>
              </w:rPr>
            </w:pPr>
            <w:r>
              <w:rPr>
                <w:kern w:val="0"/>
                <w:sz w:val="18"/>
                <w:szCs w:val="18"/>
              </w:rPr>
              <w:t>第2项</w:t>
            </w:r>
          </w:p>
        </w:tc>
        <w:tc>
          <w:tcPr>
            <w:tcW w:w="5230" w:type="dxa"/>
            <w:gridSpan w:val="13"/>
            <w:tcBorders>
              <w:top w:val="single" w:color="auto" w:sz="2" w:space="0"/>
              <w:bottom w:val="single" w:color="auto" w:sz="2" w:space="0"/>
            </w:tcBorders>
            <w:noWrap/>
            <w:tcMar>
              <w:left w:w="0" w:type="dxa"/>
              <w:right w:w="0" w:type="dxa"/>
            </w:tcMar>
            <w:vAlign w:val="center"/>
          </w:tcPr>
          <w:p>
            <w:pPr>
              <w:ind w:left="76" w:leftChars="36" w:right="48" w:rightChars="23" w:firstLine="75" w:firstLineChars="42"/>
              <w:rPr>
                <w:kern w:val="0"/>
                <w:sz w:val="18"/>
                <w:szCs w:val="18"/>
              </w:rPr>
            </w:pPr>
            <w:r>
              <w:rPr>
                <w:rFonts w:hint="eastAsia"/>
                <w:kern w:val="0"/>
                <w:sz w:val="18"/>
                <w:szCs w:val="18"/>
              </w:rPr>
              <w:t>广西特色药用植物活性成分研究及绿色开发</w:t>
            </w:r>
          </w:p>
        </w:tc>
        <w:tc>
          <w:tcPr>
            <w:tcW w:w="1088" w:type="dxa"/>
            <w:tcBorders>
              <w:top w:val="single" w:color="auto" w:sz="2" w:space="0"/>
              <w:bottom w:val="single" w:color="auto" w:sz="2" w:space="0"/>
            </w:tcBorders>
            <w:noWrap/>
            <w:tcMar>
              <w:left w:w="0" w:type="dxa"/>
              <w:right w:w="0" w:type="dxa"/>
            </w:tcMar>
            <w:vAlign w:val="center"/>
          </w:tcPr>
          <w:p>
            <w:pPr>
              <w:jc w:val="center"/>
              <w:rPr>
                <w:kern w:val="0"/>
                <w:sz w:val="18"/>
                <w:szCs w:val="18"/>
              </w:rPr>
            </w:pPr>
            <w:r>
              <w:rPr>
                <w:rFonts w:hint="eastAsia"/>
                <w:kern w:val="0"/>
                <w:sz w:val="18"/>
                <w:szCs w:val="18"/>
              </w:rPr>
              <w:t>论文和专利</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kern w:val="0"/>
                <w:sz w:val="18"/>
                <w:szCs w:val="18"/>
              </w:rPr>
            </w:pPr>
          </w:p>
        </w:tc>
        <w:tc>
          <w:tcPr>
            <w:tcW w:w="896" w:type="dxa"/>
            <w:tcBorders>
              <w:top w:val="single" w:color="auto" w:sz="2" w:space="0"/>
              <w:bottom w:val="single" w:color="auto" w:sz="2" w:space="0"/>
            </w:tcBorders>
            <w:noWrap/>
            <w:tcMar>
              <w:left w:w="0" w:type="dxa"/>
              <w:right w:w="0" w:type="dxa"/>
            </w:tcMar>
            <w:vAlign w:val="center"/>
          </w:tcPr>
          <w:p>
            <w:pPr>
              <w:widowControl/>
              <w:adjustRightInd w:val="0"/>
              <w:snapToGrid w:val="0"/>
              <w:jc w:val="center"/>
              <w:rPr>
                <w:kern w:val="0"/>
                <w:sz w:val="18"/>
                <w:szCs w:val="18"/>
              </w:rPr>
            </w:pPr>
            <w:r>
              <w:rPr>
                <w:kern w:val="0"/>
                <w:sz w:val="18"/>
                <w:szCs w:val="18"/>
              </w:rPr>
              <w:t>第3项</w:t>
            </w:r>
          </w:p>
        </w:tc>
        <w:tc>
          <w:tcPr>
            <w:tcW w:w="5230" w:type="dxa"/>
            <w:gridSpan w:val="13"/>
            <w:tcBorders>
              <w:top w:val="single" w:color="auto" w:sz="2" w:space="0"/>
              <w:bottom w:val="single" w:color="auto" w:sz="2" w:space="0"/>
            </w:tcBorders>
            <w:noWrap/>
            <w:tcMar>
              <w:left w:w="0" w:type="dxa"/>
              <w:right w:w="0" w:type="dxa"/>
            </w:tcMar>
            <w:vAlign w:val="center"/>
          </w:tcPr>
          <w:p>
            <w:pPr>
              <w:ind w:left="76" w:leftChars="36" w:right="48" w:rightChars="23" w:firstLine="75" w:firstLineChars="42"/>
              <w:rPr>
                <w:kern w:val="0"/>
                <w:sz w:val="18"/>
                <w:szCs w:val="18"/>
              </w:rPr>
            </w:pPr>
            <w:r>
              <w:rPr>
                <w:rFonts w:hint="eastAsia"/>
                <w:kern w:val="0"/>
                <w:sz w:val="18"/>
                <w:szCs w:val="18"/>
              </w:rPr>
              <w:t>药效活性分子载运体系与诊疗探针的构筑及效应</w:t>
            </w:r>
          </w:p>
        </w:tc>
        <w:tc>
          <w:tcPr>
            <w:tcW w:w="1088" w:type="dxa"/>
            <w:tcBorders>
              <w:top w:val="single" w:color="auto" w:sz="2" w:space="0"/>
              <w:bottom w:val="single" w:color="auto" w:sz="2" w:space="0"/>
            </w:tcBorders>
            <w:noWrap/>
            <w:tcMar>
              <w:left w:w="0" w:type="dxa"/>
              <w:right w:w="0" w:type="dxa"/>
            </w:tcMar>
            <w:vAlign w:val="center"/>
          </w:tcPr>
          <w:p>
            <w:pPr>
              <w:jc w:val="center"/>
              <w:rPr>
                <w:kern w:val="0"/>
                <w:sz w:val="18"/>
                <w:szCs w:val="18"/>
              </w:rPr>
            </w:pPr>
            <w:r>
              <w:rPr>
                <w:rFonts w:hint="eastAsia"/>
                <w:kern w:val="0"/>
                <w:sz w:val="18"/>
                <w:szCs w:val="18"/>
              </w:rPr>
              <w:t>论文和专利</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restart"/>
            <w:tcBorders>
              <w:top w:val="single" w:color="auto" w:sz="12" w:space="0"/>
              <w:bottom w:val="single" w:color="auto" w:sz="2" w:space="0"/>
            </w:tcBorders>
            <w:tcMar>
              <w:left w:w="0" w:type="dxa"/>
              <w:right w:w="0" w:type="dxa"/>
            </w:tcMar>
            <w:vAlign w:val="center"/>
          </w:tcPr>
          <w:p>
            <w:pPr>
              <w:adjustRightInd w:val="0"/>
              <w:snapToGrid w:val="0"/>
              <w:spacing w:line="360" w:lineRule="auto"/>
              <w:jc w:val="center"/>
              <w:rPr>
                <w:b/>
                <w:kern w:val="0"/>
                <w:sz w:val="18"/>
                <w:szCs w:val="18"/>
              </w:rPr>
            </w:pPr>
            <w:r>
              <w:rPr>
                <w:b/>
                <w:kern w:val="0"/>
                <w:sz w:val="18"/>
                <w:szCs w:val="18"/>
              </w:rPr>
              <w:t>研究队伍建设</w:t>
            </w:r>
          </w:p>
        </w:tc>
        <w:tc>
          <w:tcPr>
            <w:tcW w:w="1262" w:type="dxa"/>
            <w:vMerge w:val="restart"/>
            <w:tcBorders>
              <w:top w:val="single" w:color="auto" w:sz="12" w:space="0"/>
              <w:bottom w:val="single" w:color="auto" w:sz="2" w:space="0"/>
            </w:tcBorders>
            <w:noWrap/>
            <w:vAlign w:val="center"/>
          </w:tcPr>
          <w:p>
            <w:pPr>
              <w:widowControl/>
              <w:adjustRightInd w:val="0"/>
              <w:snapToGrid w:val="0"/>
              <w:jc w:val="center"/>
              <w:rPr>
                <w:kern w:val="0"/>
                <w:sz w:val="18"/>
                <w:szCs w:val="18"/>
              </w:rPr>
            </w:pPr>
            <w:r>
              <w:rPr>
                <w:kern w:val="0"/>
                <w:sz w:val="18"/>
                <w:szCs w:val="18"/>
              </w:rPr>
              <w:t>科技人才</w:t>
            </w:r>
          </w:p>
        </w:tc>
        <w:tc>
          <w:tcPr>
            <w:tcW w:w="2465" w:type="dxa"/>
            <w:gridSpan w:val="5"/>
            <w:tcBorders>
              <w:top w:val="single" w:color="auto" w:sz="12" w:space="0"/>
              <w:bottom w:val="single" w:color="auto" w:sz="2" w:space="0"/>
            </w:tcBorders>
            <w:noWrap/>
            <w:vAlign w:val="center"/>
          </w:tcPr>
          <w:p>
            <w:pPr>
              <w:widowControl/>
              <w:adjustRightInd w:val="0"/>
              <w:snapToGrid w:val="0"/>
              <w:jc w:val="center"/>
              <w:rPr>
                <w:kern w:val="0"/>
                <w:sz w:val="18"/>
                <w:szCs w:val="18"/>
              </w:rPr>
            </w:pPr>
            <w:r>
              <w:rPr>
                <w:kern w:val="0"/>
                <w:sz w:val="18"/>
                <w:szCs w:val="18"/>
              </w:rPr>
              <w:t>实验室固定人员</w:t>
            </w:r>
          </w:p>
        </w:tc>
        <w:tc>
          <w:tcPr>
            <w:tcW w:w="1102" w:type="dxa"/>
            <w:gridSpan w:val="3"/>
            <w:tcBorders>
              <w:top w:val="single" w:color="auto" w:sz="1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50 </w:t>
            </w:r>
            <w:r>
              <w:rPr>
                <w:kern w:val="0"/>
                <w:sz w:val="18"/>
                <w:szCs w:val="18"/>
              </w:rPr>
              <w:t>人　</w:t>
            </w:r>
          </w:p>
        </w:tc>
        <w:tc>
          <w:tcPr>
            <w:tcW w:w="2559" w:type="dxa"/>
            <w:gridSpan w:val="6"/>
            <w:tcBorders>
              <w:top w:val="single" w:color="auto" w:sz="12" w:space="0"/>
              <w:bottom w:val="single" w:color="auto" w:sz="2" w:space="0"/>
            </w:tcBorders>
            <w:noWrap/>
            <w:vAlign w:val="center"/>
          </w:tcPr>
          <w:p>
            <w:pPr>
              <w:widowControl/>
              <w:adjustRightInd w:val="0"/>
              <w:snapToGrid w:val="0"/>
              <w:jc w:val="center"/>
              <w:rPr>
                <w:kern w:val="0"/>
                <w:sz w:val="18"/>
                <w:szCs w:val="18"/>
              </w:rPr>
            </w:pPr>
            <w:r>
              <w:rPr>
                <w:kern w:val="0"/>
                <w:sz w:val="18"/>
                <w:szCs w:val="18"/>
              </w:rPr>
              <w:t>实验室流动人员</w:t>
            </w:r>
          </w:p>
        </w:tc>
        <w:tc>
          <w:tcPr>
            <w:tcW w:w="1088" w:type="dxa"/>
            <w:tcBorders>
              <w:top w:val="single" w:color="auto" w:sz="12" w:space="0"/>
              <w:bottom w:val="single" w:color="auto" w:sz="2" w:space="0"/>
            </w:tcBorders>
            <w:noWrap/>
            <w:vAlign w:val="center"/>
          </w:tcPr>
          <w:p>
            <w:pPr>
              <w:widowControl/>
              <w:adjustRightInd w:val="0"/>
              <w:snapToGrid w:val="0"/>
              <w:ind w:right="27" w:rightChars="13"/>
              <w:jc w:val="right"/>
              <w:rPr>
                <w:kern w:val="0"/>
                <w:sz w:val="18"/>
                <w:szCs w:val="18"/>
              </w:rPr>
            </w:pPr>
            <w:r>
              <w:rPr>
                <w:rFonts w:hint="eastAsia"/>
                <w:kern w:val="0"/>
                <w:sz w:val="18"/>
                <w:szCs w:val="18"/>
              </w:rPr>
              <w:t>19</w:t>
            </w:r>
            <w:r>
              <w:rPr>
                <w:kern w:val="0"/>
                <w:sz w:val="18"/>
                <w:szCs w:val="18"/>
              </w:rPr>
              <w:t>人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noWrap/>
            <w:vAlign w:val="center"/>
          </w:tcPr>
          <w:p>
            <w:pPr>
              <w:widowControl/>
              <w:adjustRightInd w:val="0"/>
              <w:snapToGrid w:val="0"/>
              <w:jc w:val="center"/>
              <w:rPr>
                <w:kern w:val="0"/>
                <w:sz w:val="18"/>
                <w:szCs w:val="18"/>
              </w:rPr>
            </w:pPr>
          </w:p>
        </w:tc>
        <w:tc>
          <w:tcPr>
            <w:tcW w:w="2465" w:type="dxa"/>
            <w:gridSpan w:val="5"/>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院士</w:t>
            </w:r>
          </w:p>
        </w:tc>
        <w:tc>
          <w:tcPr>
            <w:tcW w:w="1102" w:type="dxa"/>
            <w:gridSpan w:val="3"/>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0 </w:t>
            </w:r>
            <w:r>
              <w:rPr>
                <w:kern w:val="0"/>
                <w:sz w:val="18"/>
                <w:szCs w:val="18"/>
              </w:rPr>
              <w:t>人　</w:t>
            </w:r>
          </w:p>
        </w:tc>
        <w:tc>
          <w:tcPr>
            <w:tcW w:w="2559" w:type="dxa"/>
            <w:gridSpan w:val="6"/>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千人计划</w:t>
            </w:r>
          </w:p>
        </w:tc>
        <w:tc>
          <w:tcPr>
            <w:tcW w:w="1088" w:type="dxa"/>
            <w:tcBorders>
              <w:top w:val="single" w:color="auto" w:sz="2" w:space="0"/>
              <w:bottom w:val="single" w:color="auto" w:sz="2" w:space="0"/>
            </w:tcBorders>
            <w:noWrap/>
            <w:tcMar>
              <w:left w:w="0" w:type="dxa"/>
              <w:right w:w="0" w:type="dxa"/>
            </w:tcMar>
            <w:vAlign w:val="center"/>
          </w:tcPr>
          <w:p>
            <w:pPr>
              <w:widowControl/>
              <w:wordWrap w:val="0"/>
              <w:adjustRightInd w:val="0"/>
              <w:snapToGrid w:val="0"/>
              <w:ind w:right="27" w:rightChars="13"/>
              <w:jc w:val="right"/>
              <w:rPr>
                <w:kern w:val="0"/>
                <w:sz w:val="18"/>
                <w:szCs w:val="18"/>
              </w:rPr>
            </w:pPr>
            <w:r>
              <w:rPr>
                <w:kern w:val="0"/>
                <w:sz w:val="18"/>
                <w:szCs w:val="18"/>
              </w:rPr>
              <w:t>长期</w:t>
            </w:r>
            <w:r>
              <w:rPr>
                <w:rFonts w:hint="eastAsia"/>
                <w:kern w:val="0"/>
                <w:sz w:val="18"/>
                <w:szCs w:val="18"/>
              </w:rPr>
              <w:t>0</w:t>
            </w:r>
            <w:r>
              <w:rPr>
                <w:kern w:val="0"/>
                <w:sz w:val="18"/>
                <w:szCs w:val="18"/>
              </w:rPr>
              <w:t>人</w:t>
            </w:r>
          </w:p>
          <w:p>
            <w:pPr>
              <w:widowControl/>
              <w:wordWrap w:val="0"/>
              <w:adjustRightInd w:val="0"/>
              <w:snapToGrid w:val="0"/>
              <w:ind w:right="27" w:rightChars="13"/>
              <w:jc w:val="right"/>
              <w:rPr>
                <w:kern w:val="0"/>
                <w:sz w:val="18"/>
                <w:szCs w:val="18"/>
              </w:rPr>
            </w:pPr>
            <w:r>
              <w:rPr>
                <w:kern w:val="0"/>
                <w:sz w:val="18"/>
                <w:szCs w:val="18"/>
              </w:rPr>
              <w:t>短期</w:t>
            </w:r>
            <w:r>
              <w:rPr>
                <w:rFonts w:hint="eastAsia"/>
                <w:kern w:val="0"/>
                <w:sz w:val="18"/>
                <w:szCs w:val="18"/>
              </w:rPr>
              <w:t>0</w:t>
            </w:r>
            <w:r>
              <w:rPr>
                <w:kern w:val="0"/>
                <w:sz w:val="18"/>
                <w:szCs w:val="18"/>
              </w:rPr>
              <w:t>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noWrap/>
            <w:vAlign w:val="center"/>
          </w:tcPr>
          <w:p>
            <w:pPr>
              <w:widowControl/>
              <w:adjustRightInd w:val="0"/>
              <w:snapToGrid w:val="0"/>
              <w:jc w:val="center"/>
              <w:rPr>
                <w:kern w:val="0"/>
                <w:sz w:val="18"/>
                <w:szCs w:val="18"/>
              </w:rPr>
            </w:pPr>
          </w:p>
        </w:tc>
        <w:tc>
          <w:tcPr>
            <w:tcW w:w="2465" w:type="dxa"/>
            <w:gridSpan w:val="5"/>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长江学者</w:t>
            </w:r>
          </w:p>
        </w:tc>
        <w:tc>
          <w:tcPr>
            <w:tcW w:w="1102" w:type="dxa"/>
            <w:gridSpan w:val="3"/>
            <w:tcBorders>
              <w:top w:val="single" w:color="auto" w:sz="2" w:space="0"/>
              <w:bottom w:val="single" w:color="auto" w:sz="2" w:space="0"/>
            </w:tcBorders>
            <w:noWrap/>
            <w:vAlign w:val="center"/>
          </w:tcPr>
          <w:p>
            <w:pPr>
              <w:widowControl/>
              <w:wordWrap w:val="0"/>
              <w:adjustRightInd w:val="0"/>
              <w:snapToGrid w:val="0"/>
              <w:jc w:val="right"/>
              <w:rPr>
                <w:kern w:val="0"/>
                <w:sz w:val="18"/>
                <w:szCs w:val="18"/>
              </w:rPr>
            </w:pPr>
            <w:r>
              <w:rPr>
                <w:kern w:val="0"/>
                <w:sz w:val="18"/>
                <w:szCs w:val="18"/>
              </w:rPr>
              <w:t>特聘</w:t>
            </w:r>
            <w:r>
              <w:rPr>
                <w:rFonts w:hint="eastAsia"/>
                <w:kern w:val="0"/>
                <w:sz w:val="18"/>
                <w:szCs w:val="18"/>
              </w:rPr>
              <w:t>0</w:t>
            </w:r>
            <w:r>
              <w:rPr>
                <w:kern w:val="0"/>
                <w:sz w:val="18"/>
                <w:szCs w:val="18"/>
              </w:rPr>
              <w:t>人</w:t>
            </w:r>
          </w:p>
          <w:p>
            <w:pPr>
              <w:widowControl/>
              <w:wordWrap w:val="0"/>
              <w:adjustRightInd w:val="0"/>
              <w:snapToGrid w:val="0"/>
              <w:jc w:val="right"/>
              <w:rPr>
                <w:kern w:val="0"/>
                <w:sz w:val="18"/>
                <w:szCs w:val="18"/>
              </w:rPr>
            </w:pPr>
            <w:r>
              <w:rPr>
                <w:kern w:val="0"/>
                <w:sz w:val="18"/>
                <w:szCs w:val="18"/>
              </w:rPr>
              <w:t>讲座</w:t>
            </w:r>
            <w:r>
              <w:rPr>
                <w:rFonts w:hint="eastAsia"/>
                <w:kern w:val="0"/>
                <w:sz w:val="18"/>
                <w:szCs w:val="18"/>
              </w:rPr>
              <w:t>0</w:t>
            </w:r>
            <w:r>
              <w:rPr>
                <w:kern w:val="0"/>
                <w:sz w:val="18"/>
                <w:szCs w:val="18"/>
              </w:rPr>
              <w:t>人</w:t>
            </w:r>
          </w:p>
        </w:tc>
        <w:tc>
          <w:tcPr>
            <w:tcW w:w="2559" w:type="dxa"/>
            <w:gridSpan w:val="6"/>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国家杰出青年基金</w:t>
            </w:r>
          </w:p>
        </w:tc>
        <w:tc>
          <w:tcPr>
            <w:tcW w:w="1088" w:type="dxa"/>
            <w:tcBorders>
              <w:top w:val="single" w:color="auto" w:sz="2" w:space="0"/>
              <w:bottom w:val="single" w:color="auto" w:sz="2" w:space="0"/>
            </w:tcBorders>
            <w:noWrap/>
            <w:vAlign w:val="center"/>
          </w:tcPr>
          <w:p>
            <w:pPr>
              <w:widowControl/>
              <w:wordWrap w:val="0"/>
              <w:adjustRightInd w:val="0"/>
              <w:snapToGrid w:val="0"/>
              <w:ind w:right="27" w:rightChars="13"/>
              <w:jc w:val="right"/>
              <w:rPr>
                <w:kern w:val="0"/>
                <w:sz w:val="18"/>
                <w:szCs w:val="18"/>
              </w:rPr>
            </w:pPr>
            <w:r>
              <w:rPr>
                <w:rFonts w:hint="eastAsia"/>
                <w:kern w:val="0"/>
                <w:sz w:val="18"/>
                <w:szCs w:val="18"/>
              </w:rPr>
              <w:t>1</w:t>
            </w:r>
            <w:r>
              <w:rPr>
                <w:kern w:val="0"/>
                <w:sz w:val="18"/>
                <w:szCs w:val="18"/>
              </w:rPr>
              <w:t>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noWrap/>
            <w:vAlign w:val="center"/>
          </w:tcPr>
          <w:p>
            <w:pPr>
              <w:widowControl/>
              <w:adjustRightInd w:val="0"/>
              <w:snapToGrid w:val="0"/>
              <w:jc w:val="center"/>
              <w:rPr>
                <w:kern w:val="0"/>
                <w:sz w:val="18"/>
                <w:szCs w:val="18"/>
              </w:rPr>
            </w:pPr>
          </w:p>
        </w:tc>
        <w:tc>
          <w:tcPr>
            <w:tcW w:w="2465" w:type="dxa"/>
            <w:gridSpan w:val="5"/>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青年长江</w:t>
            </w:r>
          </w:p>
        </w:tc>
        <w:tc>
          <w:tcPr>
            <w:tcW w:w="1102" w:type="dxa"/>
            <w:gridSpan w:val="3"/>
            <w:tcBorders>
              <w:top w:val="single" w:color="auto" w:sz="2" w:space="0"/>
              <w:bottom w:val="single" w:color="auto" w:sz="2" w:space="0"/>
            </w:tcBorders>
            <w:noWrap/>
            <w:vAlign w:val="center"/>
          </w:tcPr>
          <w:p>
            <w:pPr>
              <w:widowControl/>
              <w:wordWrap w:val="0"/>
              <w:adjustRightInd w:val="0"/>
              <w:snapToGrid w:val="0"/>
              <w:ind w:right="27" w:rightChars="13"/>
              <w:jc w:val="right"/>
              <w:rPr>
                <w:kern w:val="0"/>
                <w:sz w:val="18"/>
                <w:szCs w:val="18"/>
              </w:rPr>
            </w:pPr>
            <w:r>
              <w:rPr>
                <w:rFonts w:hint="eastAsia"/>
                <w:kern w:val="0"/>
                <w:sz w:val="18"/>
                <w:szCs w:val="18"/>
              </w:rPr>
              <w:t>0</w:t>
            </w:r>
            <w:r>
              <w:rPr>
                <w:kern w:val="0"/>
                <w:sz w:val="18"/>
                <w:szCs w:val="18"/>
              </w:rPr>
              <w:t>人</w:t>
            </w:r>
          </w:p>
        </w:tc>
        <w:tc>
          <w:tcPr>
            <w:tcW w:w="2559" w:type="dxa"/>
            <w:gridSpan w:val="6"/>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国家优秀青年基金</w:t>
            </w:r>
          </w:p>
        </w:tc>
        <w:tc>
          <w:tcPr>
            <w:tcW w:w="1088" w:type="dxa"/>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0</w:t>
            </w:r>
            <w:r>
              <w:rPr>
                <w:kern w:val="0"/>
                <w:sz w:val="18"/>
                <w:szCs w:val="18"/>
              </w:rPr>
              <w:t>人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kern w:val="0"/>
                <w:sz w:val="18"/>
                <w:szCs w:val="18"/>
              </w:rPr>
            </w:pPr>
          </w:p>
        </w:tc>
        <w:tc>
          <w:tcPr>
            <w:tcW w:w="2465" w:type="dxa"/>
            <w:gridSpan w:val="5"/>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青年千人计划</w:t>
            </w:r>
          </w:p>
        </w:tc>
        <w:tc>
          <w:tcPr>
            <w:tcW w:w="1102" w:type="dxa"/>
            <w:gridSpan w:val="3"/>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0</w:t>
            </w:r>
            <w:r>
              <w:rPr>
                <w:kern w:val="0"/>
                <w:sz w:val="18"/>
                <w:szCs w:val="18"/>
              </w:rPr>
              <w:t>人</w:t>
            </w:r>
          </w:p>
        </w:tc>
        <w:tc>
          <w:tcPr>
            <w:tcW w:w="2559" w:type="dxa"/>
            <w:gridSpan w:val="6"/>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新世纪人才</w:t>
            </w:r>
          </w:p>
        </w:tc>
        <w:tc>
          <w:tcPr>
            <w:tcW w:w="1088" w:type="dxa"/>
            <w:tcBorders>
              <w:top w:val="single" w:color="auto" w:sz="2" w:space="0"/>
              <w:bottom w:val="single" w:color="auto" w:sz="2" w:space="0"/>
            </w:tcBorders>
            <w:noWrap/>
            <w:vAlign w:val="center"/>
          </w:tcPr>
          <w:p>
            <w:pPr>
              <w:widowControl/>
              <w:adjustRightInd w:val="0"/>
              <w:snapToGrid w:val="0"/>
              <w:ind w:right="27" w:rightChars="13"/>
              <w:jc w:val="right"/>
              <w:rPr>
                <w:kern w:val="0"/>
                <w:sz w:val="18"/>
                <w:szCs w:val="18"/>
              </w:rPr>
            </w:pPr>
            <w:r>
              <w:rPr>
                <w:rFonts w:hint="eastAsia"/>
                <w:kern w:val="0"/>
                <w:sz w:val="18"/>
                <w:szCs w:val="18"/>
              </w:rPr>
              <w:t>4</w:t>
            </w:r>
            <w:r>
              <w:rPr>
                <w:kern w:val="0"/>
                <w:sz w:val="18"/>
                <w:szCs w:val="18"/>
              </w:rPr>
              <w:t>人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kern w:val="0"/>
                <w:sz w:val="18"/>
                <w:szCs w:val="18"/>
              </w:rPr>
            </w:pPr>
          </w:p>
        </w:tc>
        <w:tc>
          <w:tcPr>
            <w:tcW w:w="2465" w:type="dxa"/>
            <w:gridSpan w:val="5"/>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其他国家、省部级人才计划</w:t>
            </w:r>
          </w:p>
        </w:tc>
        <w:tc>
          <w:tcPr>
            <w:tcW w:w="1102" w:type="dxa"/>
            <w:gridSpan w:val="3"/>
            <w:tcBorders>
              <w:top w:val="single" w:color="auto" w:sz="2" w:space="0"/>
              <w:bottom w:val="single" w:color="auto" w:sz="2" w:space="0"/>
            </w:tcBorders>
            <w:noWrap/>
            <w:vAlign w:val="center"/>
          </w:tcPr>
          <w:p>
            <w:pPr>
              <w:widowControl/>
              <w:adjustRightInd w:val="0"/>
              <w:snapToGrid w:val="0"/>
              <w:ind w:right="27" w:rightChars="13"/>
              <w:jc w:val="right"/>
              <w:rPr>
                <w:kern w:val="0"/>
                <w:sz w:val="18"/>
                <w:szCs w:val="18"/>
              </w:rPr>
            </w:pPr>
            <w:r>
              <w:rPr>
                <w:rFonts w:hint="eastAsia"/>
                <w:kern w:val="0"/>
                <w:sz w:val="18"/>
                <w:szCs w:val="18"/>
              </w:rPr>
              <w:t>16人</w:t>
            </w:r>
          </w:p>
        </w:tc>
        <w:tc>
          <w:tcPr>
            <w:tcW w:w="2559" w:type="dxa"/>
            <w:gridSpan w:val="6"/>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国家自然科学基金委创新群体</w:t>
            </w:r>
          </w:p>
        </w:tc>
        <w:tc>
          <w:tcPr>
            <w:tcW w:w="1088" w:type="dxa"/>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0</w:t>
            </w:r>
            <w:r>
              <w:rPr>
                <w:kern w:val="0"/>
                <w:sz w:val="18"/>
                <w:szCs w:val="18"/>
              </w:rPr>
              <w:t>个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kern w:val="0"/>
                <w:sz w:val="18"/>
                <w:szCs w:val="18"/>
              </w:rPr>
            </w:pPr>
          </w:p>
        </w:tc>
        <w:tc>
          <w:tcPr>
            <w:tcW w:w="2465" w:type="dxa"/>
            <w:gridSpan w:val="5"/>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科技部创新团队</w:t>
            </w:r>
          </w:p>
        </w:tc>
        <w:tc>
          <w:tcPr>
            <w:tcW w:w="1102" w:type="dxa"/>
            <w:gridSpan w:val="3"/>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0</w:t>
            </w:r>
            <w:r>
              <w:rPr>
                <w:kern w:val="0"/>
                <w:sz w:val="18"/>
                <w:szCs w:val="18"/>
              </w:rPr>
              <w:t>个</w:t>
            </w:r>
          </w:p>
        </w:tc>
        <w:tc>
          <w:tcPr>
            <w:tcW w:w="2559" w:type="dxa"/>
            <w:gridSpan w:val="6"/>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教育部创新团队</w:t>
            </w:r>
          </w:p>
        </w:tc>
        <w:tc>
          <w:tcPr>
            <w:tcW w:w="1088" w:type="dxa"/>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1</w:t>
            </w:r>
            <w:r>
              <w:rPr>
                <w:kern w:val="0"/>
                <w:sz w:val="18"/>
                <w:szCs w:val="18"/>
              </w:rPr>
              <w:t>个</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restart"/>
            <w:tcBorders>
              <w:top w:val="single" w:color="auto" w:sz="2" w:space="0"/>
            </w:tcBorders>
            <w:tcMar>
              <w:left w:w="0" w:type="dxa"/>
              <w:right w:w="0" w:type="dxa"/>
            </w:tcMar>
            <w:vAlign w:val="center"/>
          </w:tcPr>
          <w:p>
            <w:pPr>
              <w:widowControl/>
              <w:adjustRightInd w:val="0"/>
              <w:snapToGrid w:val="0"/>
              <w:jc w:val="center"/>
              <w:rPr>
                <w:kern w:val="0"/>
                <w:sz w:val="18"/>
                <w:szCs w:val="18"/>
              </w:rPr>
            </w:pPr>
            <w:r>
              <w:rPr>
                <w:kern w:val="0"/>
                <w:sz w:val="18"/>
                <w:szCs w:val="18"/>
              </w:rPr>
              <w:t>国际学术机构任职</w:t>
            </w:r>
          </w:p>
          <w:p>
            <w:pPr>
              <w:widowControl/>
              <w:adjustRightInd w:val="0"/>
              <w:snapToGrid w:val="0"/>
              <w:jc w:val="center"/>
              <w:rPr>
                <w:w w:val="95"/>
                <w:kern w:val="0"/>
                <w:sz w:val="18"/>
                <w:szCs w:val="18"/>
              </w:rPr>
            </w:pPr>
            <w:r>
              <w:rPr>
                <w:kern w:val="0"/>
                <w:sz w:val="18"/>
                <w:szCs w:val="18"/>
              </w:rPr>
              <w:t>(据实增删)</w:t>
            </w:r>
          </w:p>
        </w:tc>
        <w:tc>
          <w:tcPr>
            <w:tcW w:w="2465" w:type="dxa"/>
            <w:gridSpan w:val="5"/>
            <w:tcBorders>
              <w:top w:val="single" w:color="auto" w:sz="2" w:space="0"/>
              <w:bottom w:val="single" w:color="auto" w:sz="2" w:space="0"/>
            </w:tcBorders>
            <w:noWrap/>
            <w:vAlign w:val="center"/>
          </w:tcPr>
          <w:p>
            <w:pPr>
              <w:widowControl/>
              <w:adjustRightInd w:val="0"/>
              <w:snapToGrid w:val="0"/>
              <w:jc w:val="center"/>
              <w:rPr>
                <w:b/>
                <w:kern w:val="0"/>
                <w:sz w:val="18"/>
                <w:szCs w:val="18"/>
              </w:rPr>
            </w:pPr>
            <w:r>
              <w:rPr>
                <w:b/>
                <w:kern w:val="0"/>
                <w:sz w:val="18"/>
                <w:szCs w:val="18"/>
              </w:rPr>
              <w:t>姓名</w:t>
            </w:r>
          </w:p>
        </w:tc>
        <w:tc>
          <w:tcPr>
            <w:tcW w:w="3661" w:type="dxa"/>
            <w:gridSpan w:val="9"/>
            <w:tcBorders>
              <w:top w:val="single" w:color="auto" w:sz="2" w:space="0"/>
              <w:bottom w:val="single" w:color="auto" w:sz="2" w:space="0"/>
            </w:tcBorders>
            <w:noWrap/>
            <w:vAlign w:val="center"/>
          </w:tcPr>
          <w:p>
            <w:pPr>
              <w:widowControl/>
              <w:adjustRightInd w:val="0"/>
              <w:snapToGrid w:val="0"/>
              <w:jc w:val="center"/>
              <w:rPr>
                <w:b/>
                <w:kern w:val="0"/>
                <w:sz w:val="18"/>
                <w:szCs w:val="18"/>
              </w:rPr>
            </w:pPr>
            <w:r>
              <w:rPr>
                <w:b/>
                <w:kern w:val="0"/>
                <w:sz w:val="18"/>
                <w:szCs w:val="18"/>
              </w:rPr>
              <w:t>任职机构或组织</w:t>
            </w:r>
          </w:p>
        </w:tc>
        <w:tc>
          <w:tcPr>
            <w:tcW w:w="1088" w:type="dxa"/>
            <w:tcBorders>
              <w:top w:val="single" w:color="auto" w:sz="2" w:space="0"/>
              <w:bottom w:val="single" w:color="auto" w:sz="2" w:space="0"/>
            </w:tcBorders>
            <w:noWrap/>
            <w:vAlign w:val="center"/>
          </w:tcPr>
          <w:p>
            <w:pPr>
              <w:widowControl/>
              <w:adjustRightInd w:val="0"/>
              <w:snapToGrid w:val="0"/>
              <w:ind w:right="27" w:rightChars="13"/>
              <w:jc w:val="center"/>
              <w:rPr>
                <w:b/>
                <w:kern w:val="0"/>
                <w:sz w:val="18"/>
                <w:szCs w:val="18"/>
              </w:rPr>
            </w:pPr>
            <w:r>
              <w:rPr>
                <w:b/>
                <w:kern w:val="0"/>
                <w:sz w:val="18"/>
                <w:szCs w:val="18"/>
              </w:rPr>
              <w:t>职务</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Mar>
              <w:left w:w="0" w:type="dxa"/>
              <w:right w:w="0" w:type="dxa"/>
            </w:tcMar>
            <w:vAlign w:val="center"/>
          </w:tcPr>
          <w:p>
            <w:pPr>
              <w:widowControl/>
              <w:adjustRightInd w:val="0"/>
              <w:snapToGrid w:val="0"/>
              <w:jc w:val="center"/>
              <w:rPr>
                <w:w w:val="90"/>
                <w:kern w:val="0"/>
                <w:sz w:val="18"/>
                <w:szCs w:val="18"/>
              </w:rPr>
            </w:pPr>
          </w:p>
        </w:tc>
        <w:tc>
          <w:tcPr>
            <w:tcW w:w="2465" w:type="dxa"/>
            <w:gridSpan w:val="5"/>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梁宏</w:t>
            </w:r>
          </w:p>
        </w:tc>
        <w:tc>
          <w:tcPr>
            <w:tcW w:w="3661" w:type="dxa"/>
            <w:gridSpan w:val="9"/>
            <w:tcBorders>
              <w:top w:val="single" w:color="auto" w:sz="2" w:space="0"/>
              <w:bottom w:val="single" w:color="auto" w:sz="2" w:space="0"/>
            </w:tcBorders>
            <w:noWrap/>
            <w:vAlign w:val="center"/>
          </w:tcPr>
          <w:p>
            <w:pPr>
              <w:widowControl/>
              <w:adjustRightInd w:val="0"/>
              <w:snapToGrid w:val="0"/>
              <w:jc w:val="center"/>
              <w:rPr>
                <w:kern w:val="0"/>
                <w:sz w:val="18"/>
                <w:szCs w:val="18"/>
              </w:rPr>
            </w:pPr>
            <w:r>
              <w:rPr>
                <w:rFonts w:hint="eastAsia"/>
                <w:kern w:val="0"/>
                <w:sz w:val="18"/>
                <w:szCs w:val="18"/>
              </w:rPr>
              <w:t>英国皇家化学会</w:t>
            </w:r>
          </w:p>
        </w:tc>
        <w:tc>
          <w:tcPr>
            <w:tcW w:w="1088" w:type="dxa"/>
            <w:tcBorders>
              <w:top w:val="single" w:color="auto" w:sz="2" w:space="0"/>
              <w:bottom w:val="single" w:color="auto" w:sz="2" w:space="0"/>
            </w:tcBorders>
            <w:noWrap/>
            <w:vAlign w:val="center"/>
          </w:tcPr>
          <w:p>
            <w:pPr>
              <w:widowControl/>
              <w:adjustRightInd w:val="0"/>
              <w:snapToGrid w:val="0"/>
              <w:ind w:right="27" w:rightChars="13"/>
              <w:jc w:val="center"/>
              <w:rPr>
                <w:kern w:val="0"/>
                <w:sz w:val="18"/>
                <w:szCs w:val="18"/>
              </w:rPr>
            </w:pPr>
            <w:r>
              <w:rPr>
                <w:kern w:val="0"/>
                <w:sz w:val="18"/>
                <w:szCs w:val="18"/>
              </w:rPr>
              <w:t>会士</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Mar>
              <w:left w:w="0" w:type="dxa"/>
              <w:right w:w="0" w:type="dxa"/>
            </w:tcMar>
            <w:vAlign w:val="center"/>
          </w:tcPr>
          <w:p>
            <w:pPr>
              <w:widowControl/>
              <w:adjustRightInd w:val="0"/>
              <w:snapToGrid w:val="0"/>
              <w:jc w:val="center"/>
              <w:rPr>
                <w:w w:val="90"/>
                <w:kern w:val="0"/>
                <w:sz w:val="18"/>
                <w:szCs w:val="18"/>
              </w:rPr>
            </w:pPr>
          </w:p>
        </w:tc>
        <w:tc>
          <w:tcPr>
            <w:tcW w:w="2465" w:type="dxa"/>
            <w:gridSpan w:val="5"/>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梁宏</w:t>
            </w:r>
          </w:p>
        </w:tc>
        <w:tc>
          <w:tcPr>
            <w:tcW w:w="3661" w:type="dxa"/>
            <w:gridSpan w:val="9"/>
            <w:tcBorders>
              <w:top w:val="single" w:color="auto" w:sz="2" w:space="0"/>
              <w:bottom w:val="single" w:color="auto" w:sz="2" w:space="0"/>
            </w:tcBorders>
            <w:noWrap/>
            <w:vAlign w:val="center"/>
          </w:tcPr>
          <w:p>
            <w:pPr>
              <w:widowControl/>
              <w:adjustRightInd w:val="0"/>
              <w:snapToGrid w:val="0"/>
              <w:jc w:val="center"/>
              <w:rPr>
                <w:kern w:val="0"/>
                <w:sz w:val="18"/>
                <w:szCs w:val="18"/>
              </w:rPr>
            </w:pPr>
            <w:r>
              <w:rPr>
                <w:rFonts w:hint="eastAsia"/>
                <w:kern w:val="0"/>
                <w:sz w:val="18"/>
                <w:szCs w:val="18"/>
              </w:rPr>
              <w:t>Journal of Inorganic Biochemistry</w:t>
            </w:r>
          </w:p>
        </w:tc>
        <w:tc>
          <w:tcPr>
            <w:tcW w:w="1088" w:type="dxa"/>
            <w:tcBorders>
              <w:top w:val="single" w:color="auto" w:sz="2" w:space="0"/>
              <w:bottom w:val="single" w:color="auto" w:sz="2" w:space="0"/>
            </w:tcBorders>
            <w:noWrap/>
            <w:vAlign w:val="center"/>
          </w:tcPr>
          <w:p>
            <w:pPr>
              <w:widowControl/>
              <w:adjustRightInd w:val="0"/>
              <w:snapToGrid w:val="0"/>
              <w:ind w:right="27" w:rightChars="13"/>
              <w:jc w:val="center"/>
              <w:rPr>
                <w:kern w:val="0"/>
                <w:sz w:val="18"/>
                <w:szCs w:val="18"/>
              </w:rPr>
            </w:pPr>
            <w:r>
              <w:rPr>
                <w:rFonts w:hint="eastAsia"/>
                <w:kern w:val="0"/>
                <w:sz w:val="18"/>
                <w:szCs w:val="18"/>
              </w:rPr>
              <w:t>编委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Mar>
              <w:left w:w="0" w:type="dxa"/>
              <w:right w:w="0" w:type="dxa"/>
            </w:tcMar>
            <w:vAlign w:val="center"/>
          </w:tcPr>
          <w:p>
            <w:pPr>
              <w:widowControl/>
              <w:adjustRightInd w:val="0"/>
              <w:snapToGrid w:val="0"/>
              <w:jc w:val="center"/>
              <w:rPr>
                <w:w w:val="90"/>
                <w:kern w:val="0"/>
                <w:sz w:val="18"/>
                <w:szCs w:val="18"/>
              </w:rPr>
            </w:pPr>
          </w:p>
        </w:tc>
        <w:tc>
          <w:tcPr>
            <w:tcW w:w="2465" w:type="dxa"/>
            <w:gridSpan w:val="5"/>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梁宏</w:t>
            </w:r>
          </w:p>
        </w:tc>
        <w:tc>
          <w:tcPr>
            <w:tcW w:w="3661" w:type="dxa"/>
            <w:gridSpan w:val="9"/>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Current Pharmaceutical Design</w:t>
            </w:r>
          </w:p>
        </w:tc>
        <w:tc>
          <w:tcPr>
            <w:tcW w:w="1088" w:type="dxa"/>
            <w:tcBorders>
              <w:top w:val="single" w:color="auto" w:sz="2" w:space="0"/>
              <w:bottom w:val="single" w:color="auto" w:sz="2" w:space="0"/>
            </w:tcBorders>
            <w:noWrap/>
            <w:vAlign w:val="center"/>
          </w:tcPr>
          <w:p>
            <w:pPr>
              <w:widowControl/>
              <w:adjustRightInd w:val="0"/>
              <w:snapToGrid w:val="0"/>
              <w:ind w:right="27" w:rightChars="13"/>
              <w:jc w:val="center"/>
              <w:rPr>
                <w:kern w:val="0"/>
                <w:sz w:val="18"/>
                <w:szCs w:val="18"/>
              </w:rPr>
            </w:pPr>
            <w:r>
              <w:rPr>
                <w:kern w:val="0"/>
                <w:sz w:val="18"/>
                <w:szCs w:val="18"/>
              </w:rPr>
              <w:t>客座编辑</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Mar>
              <w:left w:w="0" w:type="dxa"/>
              <w:right w:w="0" w:type="dxa"/>
            </w:tcMar>
            <w:vAlign w:val="center"/>
          </w:tcPr>
          <w:p>
            <w:pPr>
              <w:widowControl/>
              <w:adjustRightInd w:val="0"/>
              <w:snapToGrid w:val="0"/>
              <w:jc w:val="center"/>
              <w:rPr>
                <w:w w:val="90"/>
                <w:kern w:val="0"/>
                <w:sz w:val="18"/>
                <w:szCs w:val="18"/>
              </w:rPr>
            </w:pPr>
          </w:p>
        </w:tc>
        <w:tc>
          <w:tcPr>
            <w:tcW w:w="2465" w:type="dxa"/>
            <w:gridSpan w:val="5"/>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杨峰</w:t>
            </w:r>
          </w:p>
        </w:tc>
        <w:tc>
          <w:tcPr>
            <w:tcW w:w="3661" w:type="dxa"/>
            <w:gridSpan w:val="9"/>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Current Pharmaceutical Design</w:t>
            </w:r>
          </w:p>
        </w:tc>
        <w:tc>
          <w:tcPr>
            <w:tcW w:w="1088" w:type="dxa"/>
            <w:tcBorders>
              <w:top w:val="single" w:color="auto" w:sz="2" w:space="0"/>
              <w:bottom w:val="single" w:color="auto" w:sz="2" w:space="0"/>
            </w:tcBorders>
            <w:noWrap/>
            <w:vAlign w:val="center"/>
          </w:tcPr>
          <w:p>
            <w:pPr>
              <w:widowControl/>
              <w:adjustRightInd w:val="0"/>
              <w:snapToGrid w:val="0"/>
              <w:ind w:right="27" w:rightChars="13"/>
              <w:jc w:val="center"/>
              <w:rPr>
                <w:kern w:val="0"/>
                <w:sz w:val="18"/>
                <w:szCs w:val="18"/>
              </w:rPr>
            </w:pPr>
            <w:r>
              <w:rPr>
                <w:kern w:val="0"/>
                <w:sz w:val="18"/>
                <w:szCs w:val="18"/>
              </w:rPr>
              <w:t>客座编辑</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Mar>
              <w:left w:w="0" w:type="dxa"/>
              <w:right w:w="0" w:type="dxa"/>
            </w:tcMar>
            <w:vAlign w:val="center"/>
          </w:tcPr>
          <w:p>
            <w:pPr>
              <w:widowControl/>
              <w:adjustRightInd w:val="0"/>
              <w:snapToGrid w:val="0"/>
              <w:jc w:val="center"/>
              <w:rPr>
                <w:w w:val="90"/>
                <w:kern w:val="0"/>
                <w:sz w:val="18"/>
                <w:szCs w:val="18"/>
              </w:rPr>
            </w:pPr>
          </w:p>
        </w:tc>
        <w:tc>
          <w:tcPr>
            <w:tcW w:w="2465" w:type="dxa"/>
            <w:gridSpan w:val="5"/>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陈家念</w:t>
            </w:r>
          </w:p>
        </w:tc>
        <w:tc>
          <w:tcPr>
            <w:tcW w:w="3661" w:type="dxa"/>
            <w:gridSpan w:val="9"/>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C</w:t>
            </w:r>
            <w:r>
              <w:rPr>
                <w:rFonts w:hint="eastAsia"/>
                <w:kern w:val="0"/>
                <w:sz w:val="18"/>
                <w:szCs w:val="18"/>
              </w:rPr>
              <w:t>urrent Topics in Medicinal Chemistry</w:t>
            </w:r>
          </w:p>
        </w:tc>
        <w:tc>
          <w:tcPr>
            <w:tcW w:w="1088" w:type="dxa"/>
            <w:tcBorders>
              <w:top w:val="single" w:color="auto" w:sz="2" w:space="0"/>
              <w:bottom w:val="single" w:color="auto" w:sz="2" w:space="0"/>
            </w:tcBorders>
            <w:noWrap/>
            <w:vAlign w:val="center"/>
          </w:tcPr>
          <w:p>
            <w:pPr>
              <w:widowControl/>
              <w:adjustRightInd w:val="0"/>
              <w:snapToGrid w:val="0"/>
              <w:ind w:right="27" w:rightChars="13"/>
              <w:jc w:val="center"/>
              <w:rPr>
                <w:kern w:val="0"/>
                <w:sz w:val="18"/>
                <w:szCs w:val="18"/>
              </w:rPr>
            </w:pPr>
            <w:r>
              <w:rPr>
                <w:kern w:val="0"/>
                <w:sz w:val="18"/>
                <w:szCs w:val="18"/>
              </w:rPr>
              <w:t>客座编辑</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Mar>
              <w:left w:w="0" w:type="dxa"/>
              <w:right w:w="0" w:type="dxa"/>
            </w:tcMar>
            <w:vAlign w:val="center"/>
          </w:tcPr>
          <w:p>
            <w:pPr>
              <w:widowControl/>
              <w:adjustRightInd w:val="0"/>
              <w:snapToGrid w:val="0"/>
              <w:jc w:val="center"/>
              <w:rPr>
                <w:w w:val="90"/>
                <w:kern w:val="0"/>
                <w:sz w:val="18"/>
                <w:szCs w:val="18"/>
              </w:rPr>
            </w:pPr>
          </w:p>
        </w:tc>
        <w:tc>
          <w:tcPr>
            <w:tcW w:w="2465" w:type="dxa"/>
            <w:gridSpan w:val="5"/>
            <w:tcBorders>
              <w:top w:val="single" w:color="auto" w:sz="2" w:space="0"/>
              <w:bottom w:val="single" w:color="auto" w:sz="2" w:space="0"/>
            </w:tcBorders>
            <w:noWrap/>
            <w:vAlign w:val="center"/>
          </w:tcPr>
          <w:p>
            <w:pPr>
              <w:widowControl/>
              <w:adjustRightInd w:val="0"/>
              <w:snapToGrid w:val="0"/>
              <w:jc w:val="center"/>
              <w:rPr>
                <w:kern w:val="0"/>
                <w:sz w:val="18"/>
                <w:szCs w:val="18"/>
              </w:rPr>
            </w:pPr>
            <w:r>
              <w:rPr>
                <w:rFonts w:hint="eastAsia"/>
                <w:kern w:val="0"/>
                <w:sz w:val="18"/>
                <w:szCs w:val="18"/>
              </w:rPr>
              <w:t>潘英明</w:t>
            </w:r>
          </w:p>
        </w:tc>
        <w:tc>
          <w:tcPr>
            <w:tcW w:w="3661" w:type="dxa"/>
            <w:gridSpan w:val="9"/>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Current Cancer Reports</w:t>
            </w:r>
          </w:p>
        </w:tc>
        <w:tc>
          <w:tcPr>
            <w:tcW w:w="1088" w:type="dxa"/>
            <w:tcBorders>
              <w:top w:val="single" w:color="auto" w:sz="2" w:space="0"/>
              <w:bottom w:val="single" w:color="auto" w:sz="2" w:space="0"/>
            </w:tcBorders>
            <w:noWrap/>
            <w:vAlign w:val="center"/>
          </w:tcPr>
          <w:p>
            <w:pPr>
              <w:widowControl/>
              <w:adjustRightInd w:val="0"/>
              <w:snapToGrid w:val="0"/>
              <w:ind w:right="27" w:rightChars="13"/>
              <w:jc w:val="center"/>
              <w:rPr>
                <w:kern w:val="0"/>
                <w:sz w:val="18"/>
                <w:szCs w:val="18"/>
              </w:rPr>
            </w:pPr>
            <w:r>
              <w:rPr>
                <w:kern w:val="0"/>
                <w:sz w:val="18"/>
                <w:szCs w:val="18"/>
              </w:rPr>
              <w:t>编委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Mar>
              <w:left w:w="0" w:type="dxa"/>
              <w:right w:w="0" w:type="dxa"/>
            </w:tcMar>
            <w:vAlign w:val="center"/>
          </w:tcPr>
          <w:p>
            <w:pPr>
              <w:widowControl/>
              <w:adjustRightInd w:val="0"/>
              <w:snapToGrid w:val="0"/>
              <w:jc w:val="center"/>
              <w:rPr>
                <w:w w:val="90"/>
                <w:kern w:val="0"/>
                <w:sz w:val="18"/>
                <w:szCs w:val="18"/>
              </w:rPr>
            </w:pPr>
          </w:p>
        </w:tc>
        <w:tc>
          <w:tcPr>
            <w:tcW w:w="2465" w:type="dxa"/>
            <w:gridSpan w:val="5"/>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杨峰</w:t>
            </w:r>
          </w:p>
        </w:tc>
        <w:tc>
          <w:tcPr>
            <w:tcW w:w="3661" w:type="dxa"/>
            <w:gridSpan w:val="9"/>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Clinical Cancer Drugs</w:t>
            </w:r>
          </w:p>
        </w:tc>
        <w:tc>
          <w:tcPr>
            <w:tcW w:w="1088" w:type="dxa"/>
            <w:tcBorders>
              <w:top w:val="single" w:color="auto" w:sz="2" w:space="0"/>
              <w:bottom w:val="single" w:color="auto" w:sz="2" w:space="0"/>
            </w:tcBorders>
            <w:noWrap/>
            <w:vAlign w:val="center"/>
          </w:tcPr>
          <w:p>
            <w:pPr>
              <w:widowControl/>
              <w:adjustRightInd w:val="0"/>
              <w:snapToGrid w:val="0"/>
              <w:ind w:right="27" w:rightChars="13"/>
              <w:jc w:val="center"/>
              <w:rPr>
                <w:kern w:val="0"/>
                <w:sz w:val="18"/>
                <w:szCs w:val="18"/>
              </w:rPr>
            </w:pPr>
            <w:r>
              <w:rPr>
                <w:kern w:val="0"/>
                <w:sz w:val="18"/>
                <w:szCs w:val="18"/>
              </w:rPr>
              <w:t>编委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tcBorders>
              <w:top w:val="single" w:color="auto" w:sz="2" w:space="0"/>
              <w:bottom w:val="single" w:color="auto" w:sz="2" w:space="0"/>
            </w:tcBorders>
            <w:vAlign w:val="center"/>
          </w:tcPr>
          <w:p>
            <w:pPr>
              <w:widowControl/>
              <w:adjustRightInd w:val="0"/>
              <w:snapToGrid w:val="0"/>
              <w:jc w:val="center"/>
              <w:rPr>
                <w:kern w:val="0"/>
                <w:sz w:val="18"/>
                <w:szCs w:val="18"/>
              </w:rPr>
            </w:pPr>
            <w:r>
              <w:rPr>
                <w:kern w:val="0"/>
                <w:sz w:val="18"/>
                <w:szCs w:val="18"/>
              </w:rPr>
              <w:t>访问学者</w:t>
            </w:r>
          </w:p>
        </w:tc>
        <w:tc>
          <w:tcPr>
            <w:tcW w:w="2465" w:type="dxa"/>
            <w:gridSpan w:val="5"/>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国内</w:t>
            </w:r>
          </w:p>
        </w:tc>
        <w:tc>
          <w:tcPr>
            <w:tcW w:w="1102" w:type="dxa"/>
            <w:gridSpan w:val="3"/>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0</w:t>
            </w:r>
            <w:r>
              <w:rPr>
                <w:kern w:val="0"/>
                <w:sz w:val="18"/>
                <w:szCs w:val="18"/>
              </w:rPr>
              <w:t>人</w:t>
            </w:r>
          </w:p>
        </w:tc>
        <w:tc>
          <w:tcPr>
            <w:tcW w:w="2559" w:type="dxa"/>
            <w:gridSpan w:val="6"/>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国外</w:t>
            </w:r>
          </w:p>
        </w:tc>
        <w:tc>
          <w:tcPr>
            <w:tcW w:w="1088" w:type="dxa"/>
            <w:tcBorders>
              <w:top w:val="single" w:color="auto" w:sz="2" w:space="0"/>
              <w:bottom w:val="single" w:color="auto" w:sz="2" w:space="0"/>
            </w:tcBorders>
            <w:noWrap/>
            <w:vAlign w:val="center"/>
          </w:tcPr>
          <w:p>
            <w:pPr>
              <w:widowControl/>
              <w:adjustRightInd w:val="0"/>
              <w:snapToGrid w:val="0"/>
              <w:ind w:right="27" w:rightChars="13"/>
              <w:jc w:val="right"/>
              <w:rPr>
                <w:kern w:val="0"/>
                <w:sz w:val="18"/>
                <w:szCs w:val="18"/>
              </w:rPr>
            </w:pPr>
            <w:r>
              <w:rPr>
                <w:rFonts w:hint="eastAsia"/>
                <w:kern w:val="0"/>
                <w:sz w:val="18"/>
                <w:szCs w:val="18"/>
              </w:rPr>
              <w:t>3</w:t>
            </w:r>
            <w:r>
              <w:rPr>
                <w:kern w:val="0"/>
                <w:sz w:val="18"/>
                <w:szCs w:val="18"/>
              </w:rPr>
              <w:t>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tcBorders>
              <w:top w:val="single" w:color="auto" w:sz="2" w:space="0"/>
              <w:bottom w:val="single" w:color="auto" w:sz="2" w:space="0"/>
            </w:tcBorders>
            <w:tcMar>
              <w:left w:w="0" w:type="dxa"/>
              <w:right w:w="0" w:type="dxa"/>
            </w:tcMar>
            <w:vAlign w:val="center"/>
          </w:tcPr>
          <w:p>
            <w:pPr>
              <w:widowControl/>
              <w:adjustRightInd w:val="0"/>
              <w:snapToGrid w:val="0"/>
              <w:jc w:val="center"/>
              <w:rPr>
                <w:kern w:val="0"/>
                <w:sz w:val="18"/>
                <w:szCs w:val="18"/>
              </w:rPr>
            </w:pPr>
            <w:r>
              <w:rPr>
                <w:kern w:val="0"/>
                <w:sz w:val="18"/>
                <w:szCs w:val="18"/>
              </w:rPr>
              <w:t>博士后研究人员</w:t>
            </w:r>
          </w:p>
        </w:tc>
        <w:tc>
          <w:tcPr>
            <w:tcW w:w="2465" w:type="dxa"/>
            <w:gridSpan w:val="5"/>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进站博士后</w:t>
            </w:r>
          </w:p>
        </w:tc>
        <w:tc>
          <w:tcPr>
            <w:tcW w:w="1102" w:type="dxa"/>
            <w:gridSpan w:val="3"/>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10</w:t>
            </w:r>
            <w:r>
              <w:rPr>
                <w:kern w:val="0"/>
                <w:sz w:val="18"/>
                <w:szCs w:val="18"/>
              </w:rPr>
              <w:t>人</w:t>
            </w:r>
          </w:p>
        </w:tc>
        <w:tc>
          <w:tcPr>
            <w:tcW w:w="2559" w:type="dxa"/>
            <w:gridSpan w:val="6"/>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出站博士后</w:t>
            </w:r>
          </w:p>
        </w:tc>
        <w:tc>
          <w:tcPr>
            <w:tcW w:w="1088" w:type="dxa"/>
            <w:tcBorders>
              <w:top w:val="single" w:color="auto" w:sz="2" w:space="0"/>
              <w:bottom w:val="single" w:color="auto" w:sz="2" w:space="0"/>
            </w:tcBorders>
            <w:noWrap/>
            <w:vAlign w:val="center"/>
          </w:tcPr>
          <w:p>
            <w:pPr>
              <w:widowControl/>
              <w:adjustRightInd w:val="0"/>
              <w:snapToGrid w:val="0"/>
              <w:jc w:val="right"/>
              <w:rPr>
                <w:kern w:val="0"/>
                <w:sz w:val="18"/>
                <w:szCs w:val="18"/>
              </w:rPr>
            </w:pPr>
            <w:r>
              <w:rPr>
                <w:rFonts w:hint="eastAsia"/>
                <w:kern w:val="0"/>
                <w:sz w:val="18"/>
                <w:szCs w:val="18"/>
              </w:rPr>
              <w:t xml:space="preserve">1 </w:t>
            </w:r>
            <w:r>
              <w:rPr>
                <w:kern w:val="0"/>
                <w:sz w:val="18"/>
                <w:szCs w:val="18"/>
              </w:rPr>
              <w:t>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restart"/>
            <w:tcBorders>
              <w:top w:val="single" w:color="auto" w:sz="2" w:space="0"/>
              <w:bottom w:val="single" w:color="auto" w:sz="2" w:space="0"/>
            </w:tcBorders>
            <w:tcMar>
              <w:left w:w="0" w:type="dxa"/>
              <w:right w:w="0" w:type="dxa"/>
            </w:tcMar>
            <w:vAlign w:val="center"/>
          </w:tcPr>
          <w:p>
            <w:pPr>
              <w:widowControl/>
              <w:adjustRightInd w:val="0"/>
              <w:snapToGrid w:val="0"/>
              <w:jc w:val="center"/>
              <w:rPr>
                <w:w w:val="95"/>
                <w:kern w:val="0"/>
                <w:sz w:val="18"/>
                <w:szCs w:val="18"/>
              </w:rPr>
            </w:pPr>
            <w:r>
              <w:rPr>
                <w:w w:val="95"/>
                <w:kern w:val="0"/>
                <w:sz w:val="18"/>
                <w:szCs w:val="18"/>
              </w:rPr>
              <w:t>40岁以下实验室人员代表性成果(不超过3项，可与代表性成果重复)</w:t>
            </w:r>
          </w:p>
        </w:tc>
        <w:tc>
          <w:tcPr>
            <w:tcW w:w="896" w:type="dxa"/>
            <w:tcBorders>
              <w:top w:val="single" w:color="auto" w:sz="2" w:space="0"/>
              <w:bottom w:val="single" w:color="auto" w:sz="2" w:space="0"/>
            </w:tcBorders>
            <w:noWrap/>
            <w:vAlign w:val="center"/>
          </w:tcPr>
          <w:p>
            <w:pPr>
              <w:widowControl/>
              <w:adjustRightInd w:val="0"/>
              <w:snapToGrid w:val="0"/>
              <w:jc w:val="center"/>
              <w:rPr>
                <w:b/>
                <w:kern w:val="0"/>
                <w:sz w:val="18"/>
                <w:szCs w:val="18"/>
              </w:rPr>
            </w:pPr>
            <w:r>
              <w:rPr>
                <w:b/>
                <w:kern w:val="0"/>
                <w:sz w:val="18"/>
                <w:szCs w:val="18"/>
              </w:rPr>
              <w:t>序号</w:t>
            </w:r>
          </w:p>
        </w:tc>
        <w:tc>
          <w:tcPr>
            <w:tcW w:w="5230" w:type="dxa"/>
            <w:gridSpan w:val="13"/>
            <w:tcBorders>
              <w:top w:val="single" w:color="auto" w:sz="2" w:space="0"/>
              <w:bottom w:val="single" w:color="auto" w:sz="2" w:space="0"/>
            </w:tcBorders>
            <w:noWrap/>
            <w:vAlign w:val="center"/>
          </w:tcPr>
          <w:p>
            <w:pPr>
              <w:widowControl/>
              <w:adjustRightInd w:val="0"/>
              <w:snapToGrid w:val="0"/>
              <w:jc w:val="center"/>
              <w:rPr>
                <w:b/>
                <w:kern w:val="0"/>
                <w:sz w:val="18"/>
                <w:szCs w:val="18"/>
              </w:rPr>
            </w:pPr>
            <w:r>
              <w:rPr>
                <w:b/>
                <w:kern w:val="0"/>
                <w:sz w:val="18"/>
                <w:szCs w:val="18"/>
              </w:rPr>
              <w:t>成果名称</w:t>
            </w:r>
          </w:p>
        </w:tc>
        <w:tc>
          <w:tcPr>
            <w:tcW w:w="1088" w:type="dxa"/>
            <w:tcBorders>
              <w:top w:val="single" w:color="auto" w:sz="2" w:space="0"/>
              <w:bottom w:val="single" w:color="auto" w:sz="2" w:space="0"/>
            </w:tcBorders>
            <w:noWrap/>
            <w:vAlign w:val="center"/>
          </w:tcPr>
          <w:p>
            <w:pPr>
              <w:widowControl/>
              <w:adjustRightInd w:val="0"/>
              <w:snapToGrid w:val="0"/>
              <w:jc w:val="center"/>
              <w:rPr>
                <w:b/>
                <w:kern w:val="0"/>
                <w:sz w:val="18"/>
                <w:szCs w:val="18"/>
              </w:rPr>
            </w:pPr>
            <w:r>
              <w:rPr>
                <w:b/>
                <w:kern w:val="0"/>
                <w:sz w:val="18"/>
                <w:szCs w:val="18"/>
              </w:rPr>
              <w:t>成果类型</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kern w:val="0"/>
                <w:sz w:val="18"/>
                <w:szCs w:val="18"/>
              </w:rPr>
            </w:pPr>
          </w:p>
        </w:tc>
        <w:tc>
          <w:tcPr>
            <w:tcW w:w="896" w:type="dxa"/>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第1项</w:t>
            </w:r>
          </w:p>
        </w:tc>
        <w:tc>
          <w:tcPr>
            <w:tcW w:w="5230" w:type="dxa"/>
            <w:gridSpan w:val="13"/>
            <w:tcBorders>
              <w:top w:val="single" w:color="auto" w:sz="2" w:space="0"/>
              <w:bottom w:val="single" w:color="auto" w:sz="2" w:space="0"/>
            </w:tcBorders>
            <w:noWrap/>
          </w:tcPr>
          <w:p>
            <w:pPr>
              <w:rPr>
                <w:kern w:val="0"/>
                <w:sz w:val="18"/>
                <w:szCs w:val="18"/>
              </w:rPr>
            </w:pPr>
            <w:r>
              <w:rPr>
                <w:rFonts w:hint="eastAsia"/>
                <w:kern w:val="0"/>
                <w:sz w:val="18"/>
                <w:szCs w:val="18"/>
              </w:rPr>
              <w:t>基于神经炎症模型的广西特色民族药中治疗神经系统疾病天然先导化合物的发现与开发（梁东）</w:t>
            </w:r>
          </w:p>
        </w:tc>
        <w:tc>
          <w:tcPr>
            <w:tcW w:w="1088" w:type="dxa"/>
            <w:tcBorders>
              <w:top w:val="single" w:color="auto" w:sz="2" w:space="0"/>
              <w:bottom w:val="single" w:color="auto" w:sz="2" w:space="0"/>
            </w:tcBorders>
            <w:noWrap/>
            <w:tcMar>
              <w:left w:w="0" w:type="dxa"/>
              <w:right w:w="0" w:type="dxa"/>
            </w:tcMar>
            <w:vAlign w:val="center"/>
          </w:tcPr>
          <w:p>
            <w:pPr>
              <w:jc w:val="center"/>
              <w:rPr>
                <w:kern w:val="0"/>
                <w:sz w:val="18"/>
                <w:szCs w:val="18"/>
              </w:rPr>
            </w:pPr>
            <w:r>
              <w:rPr>
                <w:rFonts w:hint="eastAsia"/>
                <w:kern w:val="0"/>
                <w:sz w:val="18"/>
                <w:szCs w:val="18"/>
              </w:rPr>
              <w:t>论文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kern w:val="0"/>
                <w:sz w:val="18"/>
                <w:szCs w:val="18"/>
              </w:rPr>
            </w:pPr>
          </w:p>
        </w:tc>
        <w:tc>
          <w:tcPr>
            <w:tcW w:w="896" w:type="dxa"/>
            <w:tcBorders>
              <w:top w:val="single" w:color="auto" w:sz="2" w:space="0"/>
              <w:bottom w:val="single" w:color="auto" w:sz="2" w:space="0"/>
            </w:tcBorders>
            <w:noWrap/>
            <w:vAlign w:val="center"/>
          </w:tcPr>
          <w:p>
            <w:pPr>
              <w:widowControl/>
              <w:adjustRightInd w:val="0"/>
              <w:snapToGrid w:val="0"/>
              <w:jc w:val="center"/>
              <w:rPr>
                <w:kern w:val="0"/>
                <w:sz w:val="18"/>
                <w:szCs w:val="18"/>
              </w:rPr>
            </w:pPr>
            <w:r>
              <w:rPr>
                <w:kern w:val="0"/>
                <w:sz w:val="18"/>
                <w:szCs w:val="18"/>
              </w:rPr>
              <w:t>第2项</w:t>
            </w:r>
          </w:p>
        </w:tc>
        <w:tc>
          <w:tcPr>
            <w:tcW w:w="5230" w:type="dxa"/>
            <w:gridSpan w:val="13"/>
            <w:tcBorders>
              <w:top w:val="single" w:color="auto" w:sz="2" w:space="0"/>
              <w:bottom w:val="single" w:color="auto" w:sz="2" w:space="0"/>
            </w:tcBorders>
            <w:noWrap/>
          </w:tcPr>
          <w:p>
            <w:pPr>
              <w:rPr>
                <w:kern w:val="0"/>
                <w:sz w:val="18"/>
                <w:szCs w:val="18"/>
              </w:rPr>
            </w:pPr>
            <w:r>
              <w:rPr>
                <w:rFonts w:hint="eastAsia"/>
                <w:kern w:val="0"/>
                <w:sz w:val="18"/>
                <w:szCs w:val="18"/>
              </w:rPr>
              <w:t>蕊木属活性成分中环骨架化合物的[3+2]环加成/[3,3]重排串联构建（莫冬亮）</w:t>
            </w:r>
          </w:p>
        </w:tc>
        <w:tc>
          <w:tcPr>
            <w:tcW w:w="1088" w:type="dxa"/>
            <w:tcBorders>
              <w:top w:val="single" w:color="auto" w:sz="2" w:space="0"/>
              <w:bottom w:val="single" w:color="auto" w:sz="2" w:space="0"/>
            </w:tcBorders>
            <w:noWrap/>
            <w:tcMar>
              <w:left w:w="0" w:type="dxa"/>
              <w:right w:w="0" w:type="dxa"/>
            </w:tcMar>
            <w:vAlign w:val="center"/>
          </w:tcPr>
          <w:p>
            <w:pPr>
              <w:jc w:val="center"/>
              <w:rPr>
                <w:kern w:val="0"/>
                <w:sz w:val="18"/>
                <w:szCs w:val="18"/>
              </w:rPr>
            </w:pPr>
            <w:r>
              <w:rPr>
                <w:rFonts w:hint="eastAsia"/>
                <w:kern w:val="0"/>
                <w:sz w:val="18"/>
                <w:szCs w:val="18"/>
              </w:rPr>
              <w:t>论文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97" w:hRule="atLeast"/>
          <w:jc w:val="center"/>
        </w:trPr>
        <w:tc>
          <w:tcPr>
            <w:tcW w:w="804" w:type="dxa"/>
            <w:vMerge w:val="continue"/>
            <w:tcBorders>
              <w:top w:val="single" w:color="auto" w:sz="2" w:space="0"/>
              <w:bottom w:val="single" w:color="auto" w:sz="1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top w:val="single" w:color="auto" w:sz="2" w:space="0"/>
              <w:bottom w:val="single" w:color="auto" w:sz="12" w:space="0"/>
            </w:tcBorders>
            <w:vAlign w:val="center"/>
          </w:tcPr>
          <w:p>
            <w:pPr>
              <w:widowControl/>
              <w:adjustRightInd w:val="0"/>
              <w:snapToGrid w:val="0"/>
              <w:jc w:val="center"/>
              <w:rPr>
                <w:kern w:val="0"/>
                <w:sz w:val="18"/>
                <w:szCs w:val="18"/>
              </w:rPr>
            </w:pPr>
          </w:p>
        </w:tc>
        <w:tc>
          <w:tcPr>
            <w:tcW w:w="896" w:type="dxa"/>
            <w:tcBorders>
              <w:top w:val="single" w:color="auto" w:sz="2" w:space="0"/>
              <w:bottom w:val="single" w:color="auto" w:sz="12" w:space="0"/>
            </w:tcBorders>
            <w:noWrap/>
            <w:vAlign w:val="center"/>
          </w:tcPr>
          <w:p>
            <w:pPr>
              <w:widowControl/>
              <w:adjustRightInd w:val="0"/>
              <w:snapToGrid w:val="0"/>
              <w:jc w:val="center"/>
              <w:rPr>
                <w:kern w:val="0"/>
                <w:sz w:val="18"/>
                <w:szCs w:val="18"/>
              </w:rPr>
            </w:pPr>
            <w:r>
              <w:rPr>
                <w:kern w:val="0"/>
                <w:sz w:val="18"/>
                <w:szCs w:val="18"/>
              </w:rPr>
              <w:t>第3项</w:t>
            </w:r>
          </w:p>
        </w:tc>
        <w:tc>
          <w:tcPr>
            <w:tcW w:w="5230" w:type="dxa"/>
            <w:gridSpan w:val="13"/>
            <w:tcBorders>
              <w:top w:val="single" w:color="auto" w:sz="2" w:space="0"/>
              <w:bottom w:val="single" w:color="auto" w:sz="12" w:space="0"/>
            </w:tcBorders>
            <w:noWrap/>
            <w:vAlign w:val="center"/>
          </w:tcPr>
          <w:p>
            <w:pPr>
              <w:rPr>
                <w:kern w:val="0"/>
                <w:sz w:val="18"/>
                <w:szCs w:val="18"/>
              </w:rPr>
            </w:pPr>
            <w:r>
              <w:rPr>
                <w:rFonts w:hint="eastAsia"/>
                <w:kern w:val="0"/>
                <w:sz w:val="18"/>
                <w:szCs w:val="18"/>
              </w:rPr>
              <w:t>新型近红外光响应有机共轭聚合物诊疗纳米材料的设计和制备（蒋邦平）</w:t>
            </w:r>
          </w:p>
        </w:tc>
        <w:tc>
          <w:tcPr>
            <w:tcW w:w="1088" w:type="dxa"/>
            <w:tcBorders>
              <w:top w:val="single" w:color="auto" w:sz="2" w:space="0"/>
              <w:bottom w:val="single" w:color="auto" w:sz="12" w:space="0"/>
            </w:tcBorders>
            <w:noWrap/>
            <w:tcMar>
              <w:left w:w="0" w:type="dxa"/>
              <w:right w:w="0" w:type="dxa"/>
            </w:tcMar>
            <w:vAlign w:val="center"/>
          </w:tcPr>
          <w:p>
            <w:pPr>
              <w:ind w:right="27" w:rightChars="13"/>
              <w:jc w:val="center"/>
              <w:rPr>
                <w:kern w:val="0"/>
                <w:sz w:val="18"/>
                <w:szCs w:val="18"/>
              </w:rPr>
            </w:pPr>
            <w:r>
              <w:rPr>
                <w:kern w:val="0"/>
                <w:sz w:val="18"/>
                <w:szCs w:val="18"/>
              </w:rPr>
              <w:t>论文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69" w:hRule="atLeast"/>
          <w:jc w:val="center"/>
        </w:trPr>
        <w:tc>
          <w:tcPr>
            <w:tcW w:w="804" w:type="dxa"/>
            <w:vMerge w:val="restart"/>
            <w:tcBorders>
              <w:top w:val="single" w:color="auto" w:sz="12" w:space="0"/>
            </w:tcBorders>
            <w:shd w:val="clear" w:color="auto" w:fill="auto"/>
            <w:noWrap/>
            <w:tcMar>
              <w:left w:w="0" w:type="dxa"/>
              <w:right w:w="0" w:type="dxa"/>
            </w:tcMar>
            <w:vAlign w:val="center"/>
          </w:tcPr>
          <w:p>
            <w:pPr>
              <w:widowControl/>
              <w:adjustRightInd w:val="0"/>
              <w:snapToGrid w:val="0"/>
              <w:spacing w:line="360" w:lineRule="auto"/>
              <w:jc w:val="center"/>
              <w:rPr>
                <w:b/>
                <w:kern w:val="0"/>
                <w:sz w:val="18"/>
                <w:szCs w:val="18"/>
              </w:rPr>
            </w:pPr>
            <w:r>
              <w:rPr>
                <w:b/>
                <w:kern w:val="0"/>
                <w:sz w:val="18"/>
                <w:szCs w:val="18"/>
              </w:rPr>
              <w:t>学科发展与人才培养</w:t>
            </w:r>
          </w:p>
        </w:tc>
        <w:tc>
          <w:tcPr>
            <w:tcW w:w="1262" w:type="dxa"/>
            <w:tcBorders>
              <w:top w:val="single" w:color="auto" w:sz="12" w:space="0"/>
              <w:bottom w:val="single" w:color="auto" w:sz="2" w:space="0"/>
            </w:tcBorders>
            <w:shd w:val="clear" w:color="auto" w:fill="auto"/>
            <w:noWrap/>
            <w:vAlign w:val="center"/>
          </w:tcPr>
          <w:p>
            <w:pPr>
              <w:widowControl/>
              <w:adjustRightInd w:val="0"/>
              <w:snapToGrid w:val="0"/>
              <w:jc w:val="center"/>
              <w:rPr>
                <w:kern w:val="0"/>
                <w:sz w:val="18"/>
                <w:szCs w:val="18"/>
              </w:rPr>
            </w:pPr>
            <w:r>
              <w:rPr>
                <w:kern w:val="0"/>
                <w:sz w:val="18"/>
                <w:szCs w:val="18"/>
              </w:rPr>
              <w:t>依托学科</w:t>
            </w:r>
          </w:p>
          <w:p>
            <w:pPr>
              <w:widowControl/>
              <w:adjustRightInd w:val="0"/>
              <w:snapToGrid w:val="0"/>
              <w:jc w:val="center"/>
              <w:rPr>
                <w:kern w:val="0"/>
                <w:sz w:val="18"/>
                <w:szCs w:val="18"/>
              </w:rPr>
            </w:pPr>
            <w:r>
              <w:rPr>
                <w:kern w:val="0"/>
                <w:sz w:val="18"/>
                <w:szCs w:val="18"/>
              </w:rPr>
              <w:t>(据实增删)</w:t>
            </w:r>
          </w:p>
        </w:tc>
        <w:tc>
          <w:tcPr>
            <w:tcW w:w="896" w:type="dxa"/>
            <w:tcBorders>
              <w:top w:val="single" w:color="auto" w:sz="12" w:space="0"/>
              <w:bottom w:val="single" w:color="auto" w:sz="2" w:space="0"/>
            </w:tcBorders>
            <w:shd w:val="clear" w:color="auto" w:fill="auto"/>
            <w:noWrap/>
            <w:vAlign w:val="center"/>
          </w:tcPr>
          <w:p>
            <w:pPr>
              <w:widowControl/>
              <w:adjustRightInd w:val="0"/>
              <w:snapToGrid w:val="0"/>
              <w:jc w:val="center"/>
              <w:rPr>
                <w:kern w:val="0"/>
                <w:sz w:val="18"/>
                <w:szCs w:val="18"/>
              </w:rPr>
            </w:pPr>
            <w:r>
              <w:rPr>
                <w:kern w:val="0"/>
                <w:sz w:val="18"/>
                <w:szCs w:val="18"/>
              </w:rPr>
              <w:t>学科1</w:t>
            </w:r>
          </w:p>
        </w:tc>
        <w:tc>
          <w:tcPr>
            <w:tcW w:w="1353" w:type="dxa"/>
            <w:gridSpan w:val="3"/>
            <w:tcBorders>
              <w:top w:val="single" w:color="auto" w:sz="12" w:space="0"/>
              <w:bottom w:val="single" w:color="auto" w:sz="2" w:space="0"/>
            </w:tcBorders>
            <w:shd w:val="clear" w:color="auto" w:fill="auto"/>
            <w:noWrap/>
            <w:vAlign w:val="center"/>
          </w:tcPr>
          <w:p>
            <w:pPr>
              <w:widowControl/>
              <w:adjustRightInd w:val="0"/>
              <w:snapToGrid w:val="0"/>
              <w:jc w:val="center"/>
              <w:rPr>
                <w:kern w:val="0"/>
                <w:sz w:val="18"/>
                <w:szCs w:val="18"/>
              </w:rPr>
            </w:pPr>
            <w:r>
              <w:rPr>
                <w:kern w:val="0"/>
                <w:sz w:val="18"/>
                <w:szCs w:val="18"/>
              </w:rPr>
              <w:t>化学</w:t>
            </w:r>
          </w:p>
        </w:tc>
        <w:tc>
          <w:tcPr>
            <w:tcW w:w="1318" w:type="dxa"/>
            <w:gridSpan w:val="4"/>
            <w:tcBorders>
              <w:top w:val="single" w:color="auto" w:sz="12" w:space="0"/>
              <w:bottom w:val="single" w:color="auto" w:sz="2" w:space="0"/>
            </w:tcBorders>
            <w:shd w:val="clear" w:color="auto" w:fill="auto"/>
            <w:vAlign w:val="center"/>
          </w:tcPr>
          <w:p>
            <w:pPr>
              <w:adjustRightInd w:val="0"/>
              <w:snapToGrid w:val="0"/>
              <w:jc w:val="center"/>
              <w:rPr>
                <w:kern w:val="0"/>
                <w:sz w:val="18"/>
                <w:szCs w:val="18"/>
              </w:rPr>
            </w:pPr>
            <w:r>
              <w:rPr>
                <w:kern w:val="0"/>
                <w:sz w:val="18"/>
                <w:szCs w:val="18"/>
              </w:rPr>
              <w:t>学科2</w:t>
            </w:r>
          </w:p>
        </w:tc>
        <w:tc>
          <w:tcPr>
            <w:tcW w:w="1561" w:type="dxa"/>
            <w:gridSpan w:val="5"/>
            <w:tcBorders>
              <w:top w:val="single" w:color="auto" w:sz="12" w:space="0"/>
              <w:bottom w:val="single" w:color="auto" w:sz="2" w:space="0"/>
            </w:tcBorders>
            <w:shd w:val="clear" w:color="auto" w:fill="auto"/>
            <w:vAlign w:val="center"/>
          </w:tcPr>
          <w:p>
            <w:pPr>
              <w:adjustRightInd w:val="0"/>
              <w:snapToGrid w:val="0"/>
              <w:jc w:val="center"/>
              <w:rPr>
                <w:kern w:val="0"/>
                <w:sz w:val="18"/>
                <w:szCs w:val="18"/>
              </w:rPr>
            </w:pPr>
            <w:r>
              <w:rPr>
                <w:kern w:val="0"/>
                <w:sz w:val="18"/>
                <w:szCs w:val="18"/>
              </w:rPr>
              <w:t>药学</w:t>
            </w:r>
          </w:p>
        </w:tc>
        <w:tc>
          <w:tcPr>
            <w:tcW w:w="998" w:type="dxa"/>
            <w:tcBorders>
              <w:top w:val="single" w:color="auto" w:sz="12" w:space="0"/>
              <w:bottom w:val="single" w:color="auto" w:sz="2" w:space="0"/>
            </w:tcBorders>
            <w:shd w:val="clear" w:color="auto" w:fill="auto"/>
            <w:noWrap/>
            <w:tcMar>
              <w:left w:w="108" w:type="dxa"/>
              <w:right w:w="108" w:type="dxa"/>
            </w:tcMar>
            <w:vAlign w:val="center"/>
          </w:tcPr>
          <w:p>
            <w:pPr>
              <w:adjustRightInd w:val="0"/>
              <w:snapToGrid w:val="0"/>
              <w:jc w:val="center"/>
              <w:rPr>
                <w:kern w:val="0"/>
                <w:sz w:val="18"/>
                <w:szCs w:val="18"/>
              </w:rPr>
            </w:pPr>
            <w:r>
              <w:rPr>
                <w:kern w:val="0"/>
                <w:sz w:val="18"/>
                <w:szCs w:val="18"/>
              </w:rPr>
              <w:t>学科3</w:t>
            </w:r>
          </w:p>
        </w:tc>
        <w:tc>
          <w:tcPr>
            <w:tcW w:w="1088" w:type="dxa"/>
            <w:tcBorders>
              <w:top w:val="single" w:color="auto" w:sz="12" w:space="0"/>
              <w:bottom w:val="single" w:color="auto" w:sz="2" w:space="0"/>
            </w:tcBorders>
            <w:shd w:val="clear" w:color="auto" w:fill="auto"/>
            <w:noWrap/>
            <w:vAlign w:val="center"/>
          </w:tcPr>
          <w:p>
            <w:pPr>
              <w:adjustRightInd w:val="0"/>
              <w:snapToGrid w:val="0"/>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69" w:hRule="atLeast"/>
          <w:jc w:val="center"/>
        </w:trPr>
        <w:tc>
          <w:tcPr>
            <w:tcW w:w="804" w:type="dxa"/>
            <w:vMerge w:val="continue"/>
            <w:shd w:val="clear" w:color="auto" w:fill="auto"/>
            <w:noWrap/>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restart"/>
            <w:tcBorders>
              <w:top w:val="single" w:color="auto" w:sz="2" w:space="0"/>
            </w:tcBorders>
            <w:shd w:val="clear" w:color="auto" w:fill="auto"/>
            <w:noWrap/>
            <w:vAlign w:val="center"/>
          </w:tcPr>
          <w:p>
            <w:pPr>
              <w:adjustRightInd w:val="0"/>
              <w:snapToGrid w:val="0"/>
              <w:jc w:val="center"/>
              <w:rPr>
                <w:kern w:val="0"/>
                <w:sz w:val="18"/>
                <w:szCs w:val="18"/>
              </w:rPr>
            </w:pPr>
            <w:r>
              <w:rPr>
                <w:kern w:val="0"/>
                <w:sz w:val="18"/>
                <w:szCs w:val="18"/>
              </w:rPr>
              <w:t>研究生</w:t>
            </w:r>
            <w:r>
              <w:rPr>
                <w:rFonts w:hint="eastAsia"/>
                <w:kern w:val="0"/>
                <w:sz w:val="18"/>
                <w:szCs w:val="18"/>
              </w:rPr>
              <w:t>培养</w:t>
            </w:r>
          </w:p>
        </w:tc>
        <w:tc>
          <w:tcPr>
            <w:tcW w:w="2249" w:type="dxa"/>
            <w:gridSpan w:val="4"/>
            <w:tcBorders>
              <w:top w:val="single" w:color="auto" w:sz="2" w:space="0"/>
              <w:bottom w:val="single" w:color="auto" w:sz="2" w:space="0"/>
            </w:tcBorders>
            <w:shd w:val="clear" w:color="auto" w:fill="auto"/>
            <w:noWrap/>
            <w:vAlign w:val="center"/>
          </w:tcPr>
          <w:p>
            <w:pPr>
              <w:widowControl/>
              <w:adjustRightInd w:val="0"/>
              <w:snapToGrid w:val="0"/>
              <w:jc w:val="center"/>
              <w:rPr>
                <w:kern w:val="0"/>
                <w:sz w:val="18"/>
                <w:szCs w:val="18"/>
              </w:rPr>
            </w:pPr>
            <w:r>
              <w:rPr>
                <w:kern w:val="0"/>
                <w:sz w:val="18"/>
                <w:szCs w:val="18"/>
              </w:rPr>
              <w:t>博士研究生毕业学生数</w:t>
            </w:r>
          </w:p>
        </w:tc>
        <w:tc>
          <w:tcPr>
            <w:tcW w:w="1318" w:type="dxa"/>
            <w:gridSpan w:val="4"/>
            <w:tcBorders>
              <w:top w:val="single" w:color="auto" w:sz="2" w:space="0"/>
              <w:bottom w:val="single" w:color="auto" w:sz="2" w:space="0"/>
            </w:tcBorders>
            <w:shd w:val="clear" w:color="auto" w:fill="auto"/>
            <w:vAlign w:val="center"/>
          </w:tcPr>
          <w:p>
            <w:pPr>
              <w:widowControl/>
              <w:adjustRightInd w:val="0"/>
              <w:snapToGrid w:val="0"/>
              <w:jc w:val="right"/>
              <w:rPr>
                <w:kern w:val="0"/>
                <w:sz w:val="18"/>
                <w:szCs w:val="18"/>
              </w:rPr>
            </w:pPr>
            <w:r>
              <w:rPr>
                <w:rFonts w:hint="eastAsia"/>
                <w:kern w:val="0"/>
                <w:sz w:val="18"/>
                <w:szCs w:val="18"/>
              </w:rPr>
              <w:t>16</w:t>
            </w:r>
            <w:r>
              <w:rPr>
                <w:kern w:val="0"/>
                <w:sz w:val="18"/>
                <w:szCs w:val="18"/>
              </w:rPr>
              <w:t>人</w:t>
            </w:r>
          </w:p>
        </w:tc>
        <w:tc>
          <w:tcPr>
            <w:tcW w:w="2559" w:type="dxa"/>
            <w:gridSpan w:val="6"/>
            <w:tcBorders>
              <w:top w:val="single" w:color="auto" w:sz="2" w:space="0"/>
              <w:bottom w:val="single" w:color="auto" w:sz="2" w:space="0"/>
            </w:tcBorders>
            <w:shd w:val="clear" w:color="auto" w:fill="auto"/>
            <w:vAlign w:val="center"/>
          </w:tcPr>
          <w:p>
            <w:pPr>
              <w:widowControl/>
              <w:adjustRightInd w:val="0"/>
              <w:snapToGrid w:val="0"/>
              <w:jc w:val="center"/>
              <w:rPr>
                <w:kern w:val="0"/>
                <w:sz w:val="18"/>
                <w:szCs w:val="18"/>
              </w:rPr>
            </w:pPr>
            <w:r>
              <w:rPr>
                <w:kern w:val="0"/>
                <w:sz w:val="18"/>
                <w:szCs w:val="18"/>
              </w:rPr>
              <w:t>博士研究生在读学生数</w:t>
            </w:r>
          </w:p>
        </w:tc>
        <w:tc>
          <w:tcPr>
            <w:tcW w:w="1088" w:type="dxa"/>
            <w:tcBorders>
              <w:top w:val="single" w:color="auto" w:sz="2" w:space="0"/>
              <w:bottom w:val="single" w:color="auto" w:sz="2" w:space="0"/>
            </w:tcBorders>
            <w:shd w:val="clear" w:color="auto" w:fill="auto"/>
            <w:noWrap/>
            <w:vAlign w:val="center"/>
          </w:tcPr>
          <w:p>
            <w:pPr>
              <w:adjustRightInd w:val="0"/>
              <w:snapToGrid w:val="0"/>
              <w:jc w:val="right"/>
              <w:rPr>
                <w:kern w:val="0"/>
                <w:sz w:val="18"/>
                <w:szCs w:val="18"/>
              </w:rPr>
            </w:pPr>
            <w:r>
              <w:rPr>
                <w:rFonts w:hint="eastAsia"/>
                <w:kern w:val="0"/>
                <w:sz w:val="18"/>
                <w:szCs w:val="18"/>
              </w:rPr>
              <w:t>37</w:t>
            </w:r>
            <w:r>
              <w:rPr>
                <w:kern w:val="0"/>
                <w:sz w:val="18"/>
                <w:szCs w:val="18"/>
              </w:rPr>
              <w:t>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69" w:hRule="atLeast"/>
          <w:jc w:val="center"/>
        </w:trPr>
        <w:tc>
          <w:tcPr>
            <w:tcW w:w="804" w:type="dxa"/>
            <w:vMerge w:val="continue"/>
            <w:shd w:val="clear" w:color="auto" w:fill="auto"/>
            <w:noWrap/>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shd w:val="clear" w:color="auto" w:fill="auto"/>
            <w:noWrap/>
            <w:vAlign w:val="center"/>
          </w:tcPr>
          <w:p>
            <w:pPr>
              <w:widowControl/>
              <w:adjustRightInd w:val="0"/>
              <w:snapToGrid w:val="0"/>
              <w:jc w:val="center"/>
              <w:rPr>
                <w:kern w:val="0"/>
                <w:sz w:val="18"/>
                <w:szCs w:val="18"/>
              </w:rPr>
            </w:pPr>
          </w:p>
        </w:tc>
        <w:tc>
          <w:tcPr>
            <w:tcW w:w="2249" w:type="dxa"/>
            <w:gridSpan w:val="4"/>
            <w:tcBorders>
              <w:top w:val="single" w:color="auto" w:sz="2" w:space="0"/>
              <w:bottom w:val="single" w:color="auto" w:sz="2" w:space="0"/>
            </w:tcBorders>
            <w:shd w:val="clear" w:color="auto" w:fill="auto"/>
            <w:noWrap/>
            <w:vAlign w:val="center"/>
          </w:tcPr>
          <w:p>
            <w:pPr>
              <w:widowControl/>
              <w:adjustRightInd w:val="0"/>
              <w:snapToGrid w:val="0"/>
              <w:jc w:val="center"/>
              <w:rPr>
                <w:kern w:val="0"/>
                <w:sz w:val="18"/>
                <w:szCs w:val="18"/>
              </w:rPr>
            </w:pPr>
            <w:r>
              <w:rPr>
                <w:kern w:val="0"/>
                <w:sz w:val="18"/>
                <w:szCs w:val="18"/>
              </w:rPr>
              <w:t>硕士研究生毕业学生数</w:t>
            </w:r>
          </w:p>
        </w:tc>
        <w:tc>
          <w:tcPr>
            <w:tcW w:w="1318" w:type="dxa"/>
            <w:gridSpan w:val="4"/>
            <w:tcBorders>
              <w:top w:val="single" w:color="auto" w:sz="2" w:space="0"/>
              <w:bottom w:val="single" w:color="auto" w:sz="2" w:space="0"/>
            </w:tcBorders>
            <w:shd w:val="clear" w:color="auto" w:fill="auto"/>
            <w:vAlign w:val="center"/>
          </w:tcPr>
          <w:p>
            <w:pPr>
              <w:widowControl/>
              <w:adjustRightInd w:val="0"/>
              <w:snapToGrid w:val="0"/>
              <w:jc w:val="right"/>
              <w:rPr>
                <w:kern w:val="0"/>
                <w:sz w:val="18"/>
                <w:szCs w:val="18"/>
              </w:rPr>
            </w:pPr>
            <w:r>
              <w:rPr>
                <w:rFonts w:hint="eastAsia"/>
                <w:kern w:val="0"/>
                <w:sz w:val="18"/>
                <w:szCs w:val="18"/>
              </w:rPr>
              <w:t>311</w:t>
            </w:r>
            <w:r>
              <w:rPr>
                <w:kern w:val="0"/>
                <w:sz w:val="18"/>
                <w:szCs w:val="18"/>
              </w:rPr>
              <w:t>人</w:t>
            </w:r>
          </w:p>
        </w:tc>
        <w:tc>
          <w:tcPr>
            <w:tcW w:w="2559" w:type="dxa"/>
            <w:gridSpan w:val="6"/>
            <w:tcBorders>
              <w:top w:val="single" w:color="auto" w:sz="2" w:space="0"/>
              <w:bottom w:val="single" w:color="auto" w:sz="2" w:space="0"/>
            </w:tcBorders>
            <w:shd w:val="clear" w:color="auto" w:fill="auto"/>
            <w:vAlign w:val="center"/>
          </w:tcPr>
          <w:p>
            <w:pPr>
              <w:widowControl/>
              <w:adjustRightInd w:val="0"/>
              <w:snapToGrid w:val="0"/>
              <w:jc w:val="center"/>
              <w:rPr>
                <w:kern w:val="0"/>
                <w:sz w:val="18"/>
                <w:szCs w:val="18"/>
              </w:rPr>
            </w:pPr>
            <w:r>
              <w:rPr>
                <w:kern w:val="0"/>
                <w:sz w:val="18"/>
                <w:szCs w:val="18"/>
              </w:rPr>
              <w:t>硕士研究生在读学生数</w:t>
            </w:r>
          </w:p>
        </w:tc>
        <w:tc>
          <w:tcPr>
            <w:tcW w:w="1088" w:type="dxa"/>
            <w:tcBorders>
              <w:top w:val="single" w:color="auto" w:sz="2" w:space="0"/>
              <w:bottom w:val="single" w:color="auto" w:sz="2" w:space="0"/>
            </w:tcBorders>
            <w:shd w:val="clear" w:color="auto" w:fill="auto"/>
            <w:noWrap/>
            <w:vAlign w:val="center"/>
          </w:tcPr>
          <w:p>
            <w:pPr>
              <w:adjustRightInd w:val="0"/>
              <w:snapToGrid w:val="0"/>
              <w:jc w:val="right"/>
              <w:rPr>
                <w:kern w:val="0"/>
                <w:sz w:val="18"/>
                <w:szCs w:val="18"/>
              </w:rPr>
            </w:pPr>
            <w:r>
              <w:rPr>
                <w:rFonts w:hint="eastAsia"/>
                <w:kern w:val="0"/>
                <w:sz w:val="18"/>
                <w:szCs w:val="18"/>
              </w:rPr>
              <w:t>238</w:t>
            </w:r>
            <w:r>
              <w:rPr>
                <w:kern w:val="0"/>
                <w:sz w:val="18"/>
                <w:szCs w:val="18"/>
              </w:rPr>
              <w:t>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69" w:hRule="atLeast"/>
          <w:jc w:val="center"/>
        </w:trPr>
        <w:tc>
          <w:tcPr>
            <w:tcW w:w="804" w:type="dxa"/>
            <w:vMerge w:val="continue"/>
            <w:shd w:val="clear" w:color="auto" w:fill="auto"/>
            <w:noWrap/>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shd w:val="clear" w:color="auto" w:fill="auto"/>
            <w:noWrap/>
            <w:tcMar>
              <w:left w:w="0" w:type="dxa"/>
              <w:right w:w="0" w:type="dxa"/>
            </w:tcMar>
            <w:vAlign w:val="center"/>
          </w:tcPr>
          <w:p>
            <w:pPr>
              <w:widowControl/>
              <w:adjustRightInd w:val="0"/>
              <w:snapToGrid w:val="0"/>
              <w:jc w:val="center"/>
              <w:rPr>
                <w:kern w:val="0"/>
                <w:sz w:val="18"/>
                <w:szCs w:val="18"/>
              </w:rPr>
            </w:pPr>
          </w:p>
        </w:tc>
        <w:tc>
          <w:tcPr>
            <w:tcW w:w="1537" w:type="dxa"/>
            <w:gridSpan w:val="2"/>
            <w:tcBorders>
              <w:top w:val="single" w:color="auto" w:sz="2" w:space="0"/>
              <w:bottom w:val="single" w:color="auto" w:sz="2" w:space="0"/>
            </w:tcBorders>
            <w:shd w:val="clear" w:color="auto" w:fill="auto"/>
            <w:noWrap/>
            <w:tcMar>
              <w:left w:w="0" w:type="dxa"/>
              <w:right w:w="0" w:type="dxa"/>
            </w:tcMar>
            <w:vAlign w:val="center"/>
          </w:tcPr>
          <w:p>
            <w:pPr>
              <w:widowControl/>
              <w:adjustRightInd w:val="0"/>
              <w:snapToGrid w:val="0"/>
              <w:jc w:val="center"/>
              <w:rPr>
                <w:kern w:val="0"/>
                <w:sz w:val="18"/>
                <w:szCs w:val="18"/>
              </w:rPr>
            </w:pPr>
            <w:r>
              <w:rPr>
                <w:kern w:val="0"/>
                <w:sz w:val="18"/>
                <w:szCs w:val="18"/>
              </w:rPr>
              <w:t>校内跨院系联合培养研究生</w:t>
            </w:r>
          </w:p>
        </w:tc>
        <w:tc>
          <w:tcPr>
            <w:tcW w:w="712" w:type="dxa"/>
            <w:gridSpan w:val="2"/>
            <w:tcBorders>
              <w:top w:val="single" w:color="auto" w:sz="2" w:space="0"/>
              <w:bottom w:val="single" w:color="auto" w:sz="2" w:space="0"/>
            </w:tcBorders>
            <w:shd w:val="clear" w:color="auto" w:fill="auto"/>
            <w:vAlign w:val="center"/>
          </w:tcPr>
          <w:p>
            <w:pPr>
              <w:widowControl/>
              <w:wordWrap w:val="0"/>
              <w:adjustRightInd w:val="0"/>
              <w:snapToGrid w:val="0"/>
              <w:jc w:val="right"/>
              <w:rPr>
                <w:kern w:val="0"/>
                <w:sz w:val="18"/>
                <w:szCs w:val="18"/>
              </w:rPr>
            </w:pPr>
            <w:r>
              <w:rPr>
                <w:rFonts w:hint="eastAsia"/>
                <w:kern w:val="0"/>
                <w:sz w:val="18"/>
                <w:szCs w:val="18"/>
              </w:rPr>
              <w:t>5</w:t>
            </w:r>
            <w:r>
              <w:rPr>
                <w:kern w:val="0"/>
                <w:sz w:val="18"/>
                <w:szCs w:val="18"/>
              </w:rPr>
              <w:t>人</w:t>
            </w:r>
          </w:p>
        </w:tc>
        <w:tc>
          <w:tcPr>
            <w:tcW w:w="1698" w:type="dxa"/>
            <w:gridSpan w:val="5"/>
            <w:tcBorders>
              <w:top w:val="single" w:color="auto" w:sz="2" w:space="0"/>
              <w:bottom w:val="single" w:color="auto" w:sz="2" w:space="0"/>
            </w:tcBorders>
            <w:shd w:val="clear" w:color="auto" w:fill="auto"/>
            <w:vAlign w:val="center"/>
          </w:tcPr>
          <w:p>
            <w:pPr>
              <w:widowControl/>
              <w:adjustRightInd w:val="0"/>
              <w:snapToGrid w:val="0"/>
              <w:jc w:val="center"/>
              <w:rPr>
                <w:kern w:val="0"/>
                <w:sz w:val="18"/>
                <w:szCs w:val="18"/>
              </w:rPr>
            </w:pPr>
            <w:r>
              <w:rPr>
                <w:kern w:val="0"/>
                <w:sz w:val="18"/>
                <w:szCs w:val="18"/>
              </w:rPr>
              <w:t>与企业/科研院所联合培养研究生</w:t>
            </w:r>
          </w:p>
        </w:tc>
        <w:tc>
          <w:tcPr>
            <w:tcW w:w="992" w:type="dxa"/>
            <w:gridSpan w:val="3"/>
            <w:tcBorders>
              <w:top w:val="single" w:color="auto" w:sz="2" w:space="0"/>
              <w:bottom w:val="single" w:color="auto" w:sz="2" w:space="0"/>
            </w:tcBorders>
            <w:shd w:val="clear" w:color="auto" w:fill="auto"/>
            <w:tcMar>
              <w:left w:w="0" w:type="dxa"/>
              <w:right w:w="0" w:type="dxa"/>
            </w:tcMar>
            <w:vAlign w:val="center"/>
          </w:tcPr>
          <w:p>
            <w:pPr>
              <w:widowControl/>
              <w:wordWrap w:val="0"/>
              <w:adjustRightInd w:val="0"/>
              <w:snapToGrid w:val="0"/>
              <w:jc w:val="right"/>
              <w:rPr>
                <w:kern w:val="0"/>
                <w:sz w:val="18"/>
                <w:szCs w:val="18"/>
              </w:rPr>
            </w:pPr>
            <w:r>
              <w:rPr>
                <w:rFonts w:hint="eastAsia"/>
                <w:kern w:val="0"/>
                <w:sz w:val="18"/>
                <w:szCs w:val="18"/>
              </w:rPr>
              <w:t>10</w:t>
            </w:r>
            <w:r>
              <w:rPr>
                <w:kern w:val="0"/>
                <w:sz w:val="18"/>
                <w:szCs w:val="18"/>
              </w:rPr>
              <w:t>人</w:t>
            </w:r>
            <w:r>
              <w:rPr>
                <w:rFonts w:hint="eastAsia"/>
                <w:kern w:val="0"/>
                <w:sz w:val="18"/>
                <w:szCs w:val="18"/>
              </w:rPr>
              <w:t xml:space="preserve"> </w:t>
            </w:r>
          </w:p>
        </w:tc>
        <w:tc>
          <w:tcPr>
            <w:tcW w:w="1187" w:type="dxa"/>
            <w:gridSpan w:val="2"/>
            <w:tcBorders>
              <w:top w:val="single" w:color="auto" w:sz="2" w:space="0"/>
              <w:bottom w:val="single" w:color="auto" w:sz="2" w:space="0"/>
            </w:tcBorders>
            <w:shd w:val="clear" w:color="auto" w:fill="auto"/>
            <w:vAlign w:val="center"/>
          </w:tcPr>
          <w:p>
            <w:pPr>
              <w:widowControl/>
              <w:adjustRightInd w:val="0"/>
              <w:snapToGrid w:val="0"/>
              <w:jc w:val="center"/>
              <w:rPr>
                <w:kern w:val="0"/>
                <w:sz w:val="18"/>
                <w:szCs w:val="18"/>
              </w:rPr>
            </w:pPr>
            <w:r>
              <w:rPr>
                <w:rFonts w:hint="eastAsia"/>
                <w:w w:val="90"/>
                <w:kern w:val="0"/>
                <w:sz w:val="18"/>
                <w:szCs w:val="18"/>
              </w:rPr>
              <w:t>国际联合培养研究生</w:t>
            </w:r>
          </w:p>
        </w:tc>
        <w:tc>
          <w:tcPr>
            <w:tcW w:w="1088" w:type="dxa"/>
            <w:tcBorders>
              <w:top w:val="single" w:color="auto" w:sz="2" w:space="0"/>
              <w:bottom w:val="single" w:color="auto" w:sz="2" w:space="0"/>
            </w:tcBorders>
            <w:shd w:val="clear" w:color="auto" w:fill="auto"/>
            <w:noWrap/>
            <w:vAlign w:val="center"/>
          </w:tcPr>
          <w:p>
            <w:pPr>
              <w:widowControl/>
              <w:adjustRightInd w:val="0"/>
              <w:snapToGrid w:val="0"/>
              <w:jc w:val="center"/>
              <w:rPr>
                <w:kern w:val="0"/>
                <w:sz w:val="18"/>
                <w:szCs w:val="18"/>
              </w:rPr>
            </w:pPr>
            <w:r>
              <w:rPr>
                <w:rFonts w:hint="eastAsia"/>
                <w:kern w:val="0"/>
                <w:sz w:val="18"/>
                <w:szCs w:val="18"/>
              </w:rPr>
              <w:t xml:space="preserve">    2 </w:t>
            </w:r>
            <w:r>
              <w:rPr>
                <w:kern w:val="0"/>
                <w:sz w:val="18"/>
                <w:szCs w:val="18"/>
              </w:rPr>
              <w:t>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69" w:hRule="atLeast"/>
          <w:jc w:val="center"/>
        </w:trPr>
        <w:tc>
          <w:tcPr>
            <w:tcW w:w="804" w:type="dxa"/>
            <w:vMerge w:val="continue"/>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restart"/>
            <w:tcBorders>
              <w:top w:val="single" w:color="auto" w:sz="2" w:space="0"/>
            </w:tcBorders>
            <w:shd w:val="clear" w:color="auto" w:fill="auto"/>
            <w:noWrap/>
            <w:tcMar>
              <w:left w:w="0" w:type="dxa"/>
              <w:right w:w="0" w:type="dxa"/>
            </w:tcMar>
            <w:vAlign w:val="center"/>
          </w:tcPr>
          <w:p>
            <w:pPr>
              <w:widowControl/>
              <w:adjustRightInd w:val="0"/>
              <w:snapToGrid w:val="0"/>
              <w:jc w:val="center"/>
              <w:rPr>
                <w:kern w:val="0"/>
                <w:sz w:val="18"/>
                <w:szCs w:val="18"/>
              </w:rPr>
            </w:pPr>
            <w:r>
              <w:rPr>
                <w:rFonts w:hint="eastAsia"/>
                <w:kern w:val="0"/>
                <w:sz w:val="18"/>
                <w:szCs w:val="18"/>
              </w:rPr>
              <w:t>课程承担与建设</w:t>
            </w:r>
          </w:p>
        </w:tc>
        <w:tc>
          <w:tcPr>
            <w:tcW w:w="2249" w:type="dxa"/>
            <w:gridSpan w:val="4"/>
            <w:tcBorders>
              <w:top w:val="single" w:color="auto" w:sz="2" w:space="0"/>
              <w:bottom w:val="single" w:color="auto" w:sz="2" w:space="0"/>
            </w:tcBorders>
            <w:shd w:val="clear" w:color="auto" w:fill="auto"/>
            <w:noWrap/>
            <w:vAlign w:val="center"/>
          </w:tcPr>
          <w:p>
            <w:pPr>
              <w:widowControl/>
              <w:adjustRightInd w:val="0"/>
              <w:snapToGrid w:val="0"/>
              <w:jc w:val="center"/>
              <w:rPr>
                <w:kern w:val="0"/>
                <w:sz w:val="18"/>
                <w:szCs w:val="18"/>
              </w:rPr>
            </w:pPr>
            <w:r>
              <w:rPr>
                <w:kern w:val="0"/>
                <w:sz w:val="18"/>
                <w:szCs w:val="18"/>
              </w:rPr>
              <w:t>承担本科课程</w:t>
            </w:r>
          </w:p>
        </w:tc>
        <w:tc>
          <w:tcPr>
            <w:tcW w:w="1318" w:type="dxa"/>
            <w:gridSpan w:val="4"/>
            <w:tcBorders>
              <w:top w:val="single" w:color="auto" w:sz="2" w:space="0"/>
              <w:bottom w:val="single" w:color="auto" w:sz="2" w:space="0"/>
            </w:tcBorders>
            <w:shd w:val="clear" w:color="auto" w:fill="auto"/>
            <w:vAlign w:val="center"/>
          </w:tcPr>
          <w:p>
            <w:pPr>
              <w:widowControl/>
              <w:wordWrap w:val="0"/>
              <w:adjustRightInd w:val="0"/>
              <w:snapToGrid w:val="0"/>
              <w:ind w:left="-105" w:leftChars="-50"/>
              <w:jc w:val="right"/>
              <w:rPr>
                <w:kern w:val="0"/>
                <w:sz w:val="18"/>
                <w:szCs w:val="18"/>
              </w:rPr>
            </w:pPr>
            <w:r>
              <w:rPr>
                <w:rFonts w:hint="eastAsia"/>
                <w:kern w:val="0"/>
                <w:sz w:val="18"/>
                <w:szCs w:val="18"/>
              </w:rPr>
              <w:t>25575</w:t>
            </w:r>
            <w:r>
              <w:rPr>
                <w:kern w:val="0"/>
                <w:sz w:val="18"/>
                <w:szCs w:val="18"/>
              </w:rPr>
              <w:t>学时</w:t>
            </w:r>
          </w:p>
        </w:tc>
        <w:tc>
          <w:tcPr>
            <w:tcW w:w="2559" w:type="dxa"/>
            <w:gridSpan w:val="6"/>
            <w:tcBorders>
              <w:top w:val="single" w:color="auto" w:sz="2" w:space="0"/>
              <w:bottom w:val="single" w:color="auto" w:sz="2" w:space="0"/>
            </w:tcBorders>
            <w:shd w:val="clear" w:color="auto" w:fill="auto"/>
            <w:noWrap/>
            <w:vAlign w:val="center"/>
          </w:tcPr>
          <w:p>
            <w:pPr>
              <w:widowControl/>
              <w:adjustRightInd w:val="0"/>
              <w:snapToGrid w:val="0"/>
              <w:jc w:val="center"/>
              <w:rPr>
                <w:kern w:val="0"/>
                <w:sz w:val="18"/>
                <w:szCs w:val="18"/>
              </w:rPr>
            </w:pPr>
            <w:r>
              <w:rPr>
                <w:kern w:val="0"/>
                <w:sz w:val="18"/>
                <w:szCs w:val="18"/>
              </w:rPr>
              <w:t>承担研究生课程</w:t>
            </w:r>
          </w:p>
        </w:tc>
        <w:tc>
          <w:tcPr>
            <w:tcW w:w="1088" w:type="dxa"/>
            <w:tcBorders>
              <w:top w:val="single" w:color="auto" w:sz="2" w:space="0"/>
              <w:bottom w:val="single" w:color="auto" w:sz="2" w:space="0"/>
            </w:tcBorders>
            <w:shd w:val="clear" w:color="auto" w:fill="auto"/>
            <w:noWrap/>
            <w:vAlign w:val="center"/>
          </w:tcPr>
          <w:p>
            <w:pPr>
              <w:adjustRightInd w:val="0"/>
              <w:snapToGrid w:val="0"/>
              <w:jc w:val="right"/>
              <w:rPr>
                <w:kern w:val="0"/>
                <w:sz w:val="18"/>
                <w:szCs w:val="18"/>
              </w:rPr>
            </w:pPr>
            <w:r>
              <w:rPr>
                <w:rFonts w:hint="eastAsia"/>
                <w:kern w:val="0"/>
                <w:sz w:val="18"/>
                <w:szCs w:val="18"/>
              </w:rPr>
              <w:t xml:space="preserve">5518 </w:t>
            </w:r>
            <w:r>
              <w:rPr>
                <w:kern w:val="0"/>
                <w:sz w:val="18"/>
                <w:szCs w:val="18"/>
              </w:rPr>
              <w:t>学时</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69" w:hRule="atLeast"/>
          <w:jc w:val="center"/>
        </w:trPr>
        <w:tc>
          <w:tcPr>
            <w:tcW w:w="804" w:type="dxa"/>
            <w:vMerge w:val="continue"/>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bottom w:val="single" w:color="auto" w:sz="2" w:space="0"/>
            </w:tcBorders>
            <w:shd w:val="clear" w:color="auto" w:fill="auto"/>
            <w:noWrap/>
            <w:tcMar>
              <w:left w:w="0" w:type="dxa"/>
              <w:right w:w="0" w:type="dxa"/>
            </w:tcMar>
            <w:vAlign w:val="center"/>
          </w:tcPr>
          <w:p>
            <w:pPr>
              <w:widowControl/>
              <w:adjustRightInd w:val="0"/>
              <w:snapToGrid w:val="0"/>
              <w:jc w:val="center"/>
              <w:rPr>
                <w:kern w:val="0"/>
                <w:sz w:val="18"/>
                <w:szCs w:val="18"/>
              </w:rPr>
            </w:pPr>
          </w:p>
        </w:tc>
        <w:tc>
          <w:tcPr>
            <w:tcW w:w="2249" w:type="dxa"/>
            <w:gridSpan w:val="4"/>
            <w:tcBorders>
              <w:top w:val="single" w:color="auto" w:sz="2" w:space="0"/>
              <w:bottom w:val="single" w:color="auto" w:sz="2" w:space="0"/>
            </w:tcBorders>
            <w:shd w:val="clear" w:color="auto" w:fill="auto"/>
            <w:noWrap/>
            <w:vAlign w:val="center"/>
          </w:tcPr>
          <w:p>
            <w:pPr>
              <w:widowControl/>
              <w:adjustRightInd w:val="0"/>
              <w:snapToGrid w:val="0"/>
              <w:jc w:val="center"/>
              <w:rPr>
                <w:kern w:val="0"/>
                <w:sz w:val="18"/>
                <w:szCs w:val="18"/>
              </w:rPr>
            </w:pPr>
            <w:r>
              <w:rPr>
                <w:kern w:val="0"/>
                <w:sz w:val="18"/>
                <w:szCs w:val="18"/>
              </w:rPr>
              <w:t>国家精品课程</w:t>
            </w:r>
          </w:p>
        </w:tc>
        <w:tc>
          <w:tcPr>
            <w:tcW w:w="1318" w:type="dxa"/>
            <w:gridSpan w:val="4"/>
            <w:tcBorders>
              <w:top w:val="single" w:color="auto" w:sz="2" w:space="0"/>
              <w:bottom w:val="single" w:color="auto" w:sz="2" w:space="0"/>
            </w:tcBorders>
            <w:shd w:val="clear" w:color="auto" w:fill="auto"/>
            <w:vAlign w:val="center"/>
          </w:tcPr>
          <w:p>
            <w:pPr>
              <w:widowControl/>
              <w:adjustRightInd w:val="0"/>
              <w:snapToGrid w:val="0"/>
              <w:jc w:val="right"/>
              <w:rPr>
                <w:kern w:val="0"/>
                <w:sz w:val="18"/>
                <w:szCs w:val="18"/>
              </w:rPr>
            </w:pPr>
            <w:r>
              <w:rPr>
                <w:rFonts w:hint="eastAsia"/>
                <w:kern w:val="0"/>
                <w:sz w:val="18"/>
                <w:szCs w:val="18"/>
              </w:rPr>
              <w:t>1</w:t>
            </w:r>
            <w:r>
              <w:rPr>
                <w:kern w:val="0"/>
                <w:sz w:val="18"/>
                <w:szCs w:val="18"/>
              </w:rPr>
              <w:t>门</w:t>
            </w:r>
          </w:p>
        </w:tc>
        <w:tc>
          <w:tcPr>
            <w:tcW w:w="2559" w:type="dxa"/>
            <w:gridSpan w:val="6"/>
            <w:tcBorders>
              <w:top w:val="single" w:color="auto" w:sz="2" w:space="0"/>
              <w:bottom w:val="single" w:color="auto" w:sz="2" w:space="0"/>
            </w:tcBorders>
            <w:shd w:val="clear" w:color="auto" w:fill="auto"/>
            <w:noWrap/>
            <w:vAlign w:val="center"/>
          </w:tcPr>
          <w:p>
            <w:pPr>
              <w:widowControl/>
              <w:adjustRightInd w:val="0"/>
              <w:snapToGrid w:val="0"/>
              <w:jc w:val="center"/>
              <w:rPr>
                <w:kern w:val="0"/>
                <w:sz w:val="18"/>
                <w:szCs w:val="18"/>
              </w:rPr>
            </w:pPr>
            <w:r>
              <w:rPr>
                <w:kern w:val="0"/>
                <w:sz w:val="18"/>
                <w:szCs w:val="18"/>
              </w:rPr>
              <w:t>省部级精品课程</w:t>
            </w:r>
          </w:p>
        </w:tc>
        <w:tc>
          <w:tcPr>
            <w:tcW w:w="1088" w:type="dxa"/>
            <w:tcBorders>
              <w:top w:val="single" w:color="auto" w:sz="2" w:space="0"/>
              <w:bottom w:val="single" w:color="auto" w:sz="2" w:space="0"/>
            </w:tcBorders>
            <w:shd w:val="clear" w:color="auto" w:fill="auto"/>
            <w:noWrap/>
            <w:vAlign w:val="center"/>
          </w:tcPr>
          <w:p>
            <w:pPr>
              <w:adjustRightInd w:val="0"/>
              <w:snapToGrid w:val="0"/>
              <w:jc w:val="right"/>
              <w:rPr>
                <w:kern w:val="0"/>
                <w:sz w:val="18"/>
                <w:szCs w:val="18"/>
              </w:rPr>
            </w:pPr>
            <w:r>
              <w:rPr>
                <w:rFonts w:hint="eastAsia"/>
                <w:kern w:val="0"/>
                <w:sz w:val="18"/>
                <w:szCs w:val="18"/>
              </w:rPr>
              <w:t>4</w:t>
            </w:r>
            <w:r>
              <w:rPr>
                <w:kern w:val="0"/>
                <w:sz w:val="18"/>
                <w:szCs w:val="18"/>
              </w:rPr>
              <w:t>门</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69" w:hRule="atLeast"/>
          <w:jc w:val="center"/>
        </w:trPr>
        <w:tc>
          <w:tcPr>
            <w:tcW w:w="804" w:type="dxa"/>
            <w:vMerge w:val="continue"/>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restart"/>
            <w:tcBorders>
              <w:top w:val="single" w:color="auto" w:sz="2" w:space="0"/>
            </w:tcBorders>
            <w:shd w:val="clear" w:color="auto" w:fill="auto"/>
            <w:noWrap/>
            <w:tcMar>
              <w:left w:w="0" w:type="dxa"/>
              <w:right w:w="0" w:type="dxa"/>
            </w:tcMar>
            <w:vAlign w:val="center"/>
          </w:tcPr>
          <w:p>
            <w:pPr>
              <w:widowControl/>
              <w:adjustRightInd w:val="0"/>
              <w:snapToGrid w:val="0"/>
              <w:jc w:val="center"/>
              <w:rPr>
                <w:kern w:val="0"/>
                <w:sz w:val="18"/>
                <w:szCs w:val="18"/>
              </w:rPr>
            </w:pPr>
            <w:r>
              <w:rPr>
                <w:rFonts w:hint="eastAsia"/>
                <w:kern w:val="0"/>
                <w:sz w:val="18"/>
                <w:szCs w:val="18"/>
              </w:rPr>
              <w:t>教材建设与教学奖</w:t>
            </w:r>
          </w:p>
        </w:tc>
        <w:tc>
          <w:tcPr>
            <w:tcW w:w="2249" w:type="dxa"/>
            <w:gridSpan w:val="4"/>
            <w:tcBorders>
              <w:top w:val="single" w:color="auto" w:sz="2" w:space="0"/>
              <w:bottom w:val="single" w:color="auto" w:sz="2" w:space="0"/>
            </w:tcBorders>
            <w:shd w:val="clear" w:color="auto" w:fill="auto"/>
            <w:noWrap/>
            <w:vAlign w:val="center"/>
          </w:tcPr>
          <w:p>
            <w:pPr>
              <w:widowControl/>
              <w:adjustRightInd w:val="0"/>
              <w:snapToGrid w:val="0"/>
              <w:jc w:val="center"/>
              <w:rPr>
                <w:kern w:val="0"/>
                <w:sz w:val="18"/>
                <w:szCs w:val="18"/>
              </w:rPr>
            </w:pPr>
            <w:r>
              <w:rPr>
                <w:rFonts w:hint="eastAsia"/>
                <w:kern w:val="0"/>
                <w:sz w:val="18"/>
                <w:szCs w:val="18"/>
              </w:rPr>
              <w:t>国家级规范教材数</w:t>
            </w:r>
          </w:p>
        </w:tc>
        <w:tc>
          <w:tcPr>
            <w:tcW w:w="1318" w:type="dxa"/>
            <w:gridSpan w:val="4"/>
            <w:tcBorders>
              <w:top w:val="single" w:color="auto" w:sz="2" w:space="0"/>
              <w:bottom w:val="single" w:color="auto" w:sz="2" w:space="0"/>
            </w:tcBorders>
            <w:shd w:val="clear" w:color="auto" w:fill="auto"/>
            <w:vAlign w:val="center"/>
          </w:tcPr>
          <w:p>
            <w:pPr>
              <w:widowControl/>
              <w:adjustRightInd w:val="0"/>
              <w:snapToGrid w:val="0"/>
              <w:jc w:val="right"/>
              <w:rPr>
                <w:kern w:val="0"/>
                <w:sz w:val="18"/>
                <w:szCs w:val="18"/>
              </w:rPr>
            </w:pPr>
            <w:r>
              <w:rPr>
                <w:rFonts w:hint="eastAsia"/>
                <w:kern w:val="0"/>
                <w:sz w:val="18"/>
                <w:szCs w:val="18"/>
              </w:rPr>
              <w:t>1部</w:t>
            </w:r>
          </w:p>
        </w:tc>
        <w:tc>
          <w:tcPr>
            <w:tcW w:w="2559" w:type="dxa"/>
            <w:gridSpan w:val="6"/>
            <w:tcBorders>
              <w:top w:val="single" w:color="auto" w:sz="2" w:space="0"/>
              <w:bottom w:val="single" w:color="auto" w:sz="2" w:space="0"/>
            </w:tcBorders>
            <w:shd w:val="clear" w:color="auto" w:fill="auto"/>
            <w:noWrap/>
            <w:vAlign w:val="center"/>
          </w:tcPr>
          <w:p>
            <w:pPr>
              <w:widowControl/>
              <w:adjustRightInd w:val="0"/>
              <w:snapToGrid w:val="0"/>
              <w:jc w:val="center"/>
              <w:rPr>
                <w:kern w:val="0"/>
                <w:sz w:val="18"/>
                <w:szCs w:val="18"/>
              </w:rPr>
            </w:pPr>
            <w:r>
              <w:rPr>
                <w:rFonts w:hint="eastAsia"/>
                <w:kern w:val="0"/>
                <w:sz w:val="18"/>
                <w:szCs w:val="18"/>
              </w:rPr>
              <w:t>其他教材数</w:t>
            </w:r>
          </w:p>
        </w:tc>
        <w:tc>
          <w:tcPr>
            <w:tcW w:w="1088" w:type="dxa"/>
            <w:tcBorders>
              <w:top w:val="single" w:color="auto" w:sz="2" w:space="0"/>
              <w:bottom w:val="single" w:color="auto" w:sz="2" w:space="0"/>
            </w:tcBorders>
            <w:shd w:val="clear" w:color="auto" w:fill="auto"/>
            <w:noWrap/>
            <w:vAlign w:val="center"/>
          </w:tcPr>
          <w:p>
            <w:pPr>
              <w:adjustRightInd w:val="0"/>
              <w:snapToGrid w:val="0"/>
              <w:jc w:val="right"/>
              <w:rPr>
                <w:kern w:val="0"/>
                <w:sz w:val="18"/>
                <w:szCs w:val="18"/>
              </w:rPr>
            </w:pPr>
            <w:r>
              <w:rPr>
                <w:rFonts w:hint="eastAsia"/>
                <w:kern w:val="0"/>
                <w:sz w:val="18"/>
                <w:szCs w:val="18"/>
              </w:rPr>
              <w:t>10部</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69" w:hRule="atLeast"/>
          <w:jc w:val="center"/>
        </w:trPr>
        <w:tc>
          <w:tcPr>
            <w:tcW w:w="804" w:type="dxa"/>
            <w:vMerge w:val="continue"/>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shd w:val="clear" w:color="auto" w:fill="auto"/>
            <w:noWrap/>
            <w:tcMar>
              <w:left w:w="0" w:type="dxa"/>
              <w:right w:w="0" w:type="dxa"/>
            </w:tcMar>
            <w:vAlign w:val="center"/>
          </w:tcPr>
          <w:p>
            <w:pPr>
              <w:widowControl/>
              <w:adjustRightInd w:val="0"/>
              <w:snapToGrid w:val="0"/>
              <w:jc w:val="center"/>
              <w:rPr>
                <w:kern w:val="0"/>
                <w:sz w:val="18"/>
                <w:szCs w:val="18"/>
              </w:rPr>
            </w:pPr>
          </w:p>
        </w:tc>
        <w:tc>
          <w:tcPr>
            <w:tcW w:w="2249" w:type="dxa"/>
            <w:gridSpan w:val="4"/>
            <w:tcBorders>
              <w:top w:val="single" w:color="auto" w:sz="2" w:space="0"/>
              <w:bottom w:val="single" w:color="auto" w:sz="2" w:space="0"/>
            </w:tcBorders>
            <w:shd w:val="clear" w:color="auto" w:fill="auto"/>
            <w:noWrap/>
            <w:vAlign w:val="center"/>
          </w:tcPr>
          <w:p>
            <w:pPr>
              <w:widowControl/>
              <w:adjustRightInd w:val="0"/>
              <w:snapToGrid w:val="0"/>
              <w:jc w:val="center"/>
              <w:rPr>
                <w:kern w:val="0"/>
                <w:sz w:val="18"/>
                <w:szCs w:val="18"/>
              </w:rPr>
            </w:pPr>
            <w:r>
              <w:rPr>
                <w:rFonts w:hint="eastAsia"/>
                <w:kern w:val="0"/>
                <w:sz w:val="18"/>
                <w:szCs w:val="18"/>
              </w:rPr>
              <w:t>高等学校教学名师奖</w:t>
            </w:r>
          </w:p>
        </w:tc>
        <w:tc>
          <w:tcPr>
            <w:tcW w:w="1318" w:type="dxa"/>
            <w:gridSpan w:val="4"/>
            <w:tcBorders>
              <w:top w:val="single" w:color="auto" w:sz="2" w:space="0"/>
              <w:bottom w:val="single" w:color="auto" w:sz="2" w:space="0"/>
            </w:tcBorders>
            <w:shd w:val="clear" w:color="auto" w:fill="auto"/>
            <w:vAlign w:val="center"/>
          </w:tcPr>
          <w:p>
            <w:pPr>
              <w:adjustRightInd w:val="0"/>
              <w:snapToGrid w:val="0"/>
              <w:jc w:val="right"/>
              <w:rPr>
                <w:kern w:val="0"/>
                <w:sz w:val="18"/>
                <w:szCs w:val="18"/>
              </w:rPr>
            </w:pPr>
            <w:r>
              <w:rPr>
                <w:rFonts w:hint="eastAsia"/>
                <w:kern w:val="0"/>
                <w:sz w:val="18"/>
                <w:szCs w:val="18"/>
              </w:rPr>
              <w:t>0项</w:t>
            </w:r>
          </w:p>
        </w:tc>
        <w:tc>
          <w:tcPr>
            <w:tcW w:w="2559" w:type="dxa"/>
            <w:gridSpan w:val="6"/>
            <w:tcBorders>
              <w:top w:val="single" w:color="auto" w:sz="2" w:space="0"/>
              <w:bottom w:val="single" w:color="auto" w:sz="2" w:space="0"/>
            </w:tcBorders>
            <w:shd w:val="clear" w:color="auto" w:fill="auto"/>
            <w:noWrap/>
            <w:vAlign w:val="center"/>
          </w:tcPr>
          <w:p>
            <w:pPr>
              <w:widowControl/>
              <w:adjustRightInd w:val="0"/>
              <w:snapToGrid w:val="0"/>
              <w:jc w:val="center"/>
              <w:rPr>
                <w:kern w:val="0"/>
                <w:sz w:val="18"/>
                <w:szCs w:val="18"/>
              </w:rPr>
            </w:pPr>
            <w:r>
              <w:rPr>
                <w:rFonts w:hint="eastAsia"/>
                <w:kern w:val="0"/>
                <w:sz w:val="18"/>
                <w:szCs w:val="18"/>
              </w:rPr>
              <w:t>省部级教学名师奖</w:t>
            </w:r>
          </w:p>
        </w:tc>
        <w:tc>
          <w:tcPr>
            <w:tcW w:w="1088" w:type="dxa"/>
            <w:tcBorders>
              <w:top w:val="single" w:color="auto" w:sz="2" w:space="0"/>
              <w:bottom w:val="single" w:color="auto" w:sz="2" w:space="0"/>
            </w:tcBorders>
            <w:shd w:val="clear" w:color="auto" w:fill="auto"/>
            <w:noWrap/>
            <w:vAlign w:val="center"/>
          </w:tcPr>
          <w:p>
            <w:pPr>
              <w:adjustRightInd w:val="0"/>
              <w:snapToGrid w:val="0"/>
              <w:jc w:val="right"/>
              <w:rPr>
                <w:kern w:val="0"/>
                <w:sz w:val="18"/>
                <w:szCs w:val="18"/>
              </w:rPr>
            </w:pPr>
            <w:r>
              <w:rPr>
                <w:rFonts w:hint="eastAsia"/>
                <w:kern w:val="0"/>
                <w:sz w:val="18"/>
                <w:szCs w:val="18"/>
              </w:rPr>
              <w:t>1项</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69" w:hRule="atLeast"/>
          <w:jc w:val="center"/>
        </w:trPr>
        <w:tc>
          <w:tcPr>
            <w:tcW w:w="804" w:type="dxa"/>
            <w:vMerge w:val="continue"/>
            <w:tcBorders>
              <w:bottom w:val="single" w:color="auto" w:sz="2" w:space="0"/>
            </w:tcBorders>
            <w:tcMar>
              <w:left w:w="0" w:type="dxa"/>
              <w:right w:w="0" w:type="dxa"/>
            </w:tcMar>
            <w:vAlign w:val="center"/>
          </w:tcPr>
          <w:p>
            <w:pPr>
              <w:widowControl/>
              <w:adjustRightInd w:val="0"/>
              <w:snapToGrid w:val="0"/>
              <w:spacing w:line="360" w:lineRule="auto"/>
              <w:jc w:val="center"/>
              <w:rPr>
                <w:b/>
                <w:kern w:val="0"/>
                <w:sz w:val="18"/>
                <w:szCs w:val="18"/>
              </w:rPr>
            </w:pPr>
          </w:p>
        </w:tc>
        <w:tc>
          <w:tcPr>
            <w:tcW w:w="1262" w:type="dxa"/>
            <w:vMerge w:val="continue"/>
            <w:tcBorders>
              <w:bottom w:val="single" w:color="auto" w:sz="2" w:space="0"/>
            </w:tcBorders>
            <w:shd w:val="clear" w:color="auto" w:fill="auto"/>
            <w:noWrap/>
            <w:tcMar>
              <w:left w:w="0" w:type="dxa"/>
              <w:right w:w="0" w:type="dxa"/>
            </w:tcMar>
            <w:vAlign w:val="center"/>
          </w:tcPr>
          <w:p>
            <w:pPr>
              <w:widowControl/>
              <w:adjustRightInd w:val="0"/>
              <w:snapToGrid w:val="0"/>
              <w:jc w:val="center"/>
              <w:rPr>
                <w:kern w:val="0"/>
                <w:sz w:val="18"/>
                <w:szCs w:val="18"/>
              </w:rPr>
            </w:pPr>
          </w:p>
        </w:tc>
        <w:tc>
          <w:tcPr>
            <w:tcW w:w="2249" w:type="dxa"/>
            <w:gridSpan w:val="4"/>
            <w:tcBorders>
              <w:top w:val="single" w:color="auto" w:sz="2" w:space="0"/>
              <w:bottom w:val="single" w:color="auto" w:sz="2" w:space="0"/>
            </w:tcBorders>
            <w:shd w:val="clear" w:color="auto" w:fill="auto"/>
            <w:noWrap/>
            <w:vAlign w:val="center"/>
          </w:tcPr>
          <w:p>
            <w:pPr>
              <w:widowControl/>
              <w:adjustRightInd w:val="0"/>
              <w:snapToGrid w:val="0"/>
              <w:jc w:val="center"/>
              <w:rPr>
                <w:kern w:val="0"/>
                <w:sz w:val="18"/>
                <w:szCs w:val="18"/>
              </w:rPr>
            </w:pPr>
            <w:r>
              <w:rPr>
                <w:kern w:val="0"/>
                <w:sz w:val="18"/>
                <w:szCs w:val="18"/>
              </w:rPr>
              <w:t>国家级教学成果奖</w:t>
            </w:r>
          </w:p>
        </w:tc>
        <w:tc>
          <w:tcPr>
            <w:tcW w:w="1318" w:type="dxa"/>
            <w:gridSpan w:val="4"/>
            <w:tcBorders>
              <w:top w:val="single" w:color="auto" w:sz="2" w:space="0"/>
              <w:bottom w:val="single" w:color="auto" w:sz="2" w:space="0"/>
            </w:tcBorders>
            <w:shd w:val="clear" w:color="auto" w:fill="auto"/>
            <w:vAlign w:val="center"/>
          </w:tcPr>
          <w:p>
            <w:pPr>
              <w:adjustRightInd w:val="0"/>
              <w:snapToGrid w:val="0"/>
              <w:jc w:val="right"/>
              <w:rPr>
                <w:kern w:val="0"/>
                <w:sz w:val="18"/>
                <w:szCs w:val="18"/>
              </w:rPr>
            </w:pPr>
            <w:r>
              <w:rPr>
                <w:rFonts w:hint="eastAsia"/>
                <w:kern w:val="0"/>
                <w:sz w:val="18"/>
                <w:szCs w:val="18"/>
              </w:rPr>
              <w:t>0项</w:t>
            </w:r>
          </w:p>
        </w:tc>
        <w:tc>
          <w:tcPr>
            <w:tcW w:w="2559" w:type="dxa"/>
            <w:gridSpan w:val="6"/>
            <w:tcBorders>
              <w:top w:val="single" w:color="auto" w:sz="2" w:space="0"/>
              <w:bottom w:val="single" w:color="auto" w:sz="2" w:space="0"/>
            </w:tcBorders>
            <w:shd w:val="clear" w:color="auto" w:fill="auto"/>
            <w:noWrap/>
            <w:vAlign w:val="center"/>
          </w:tcPr>
          <w:p>
            <w:pPr>
              <w:widowControl/>
              <w:adjustRightInd w:val="0"/>
              <w:snapToGrid w:val="0"/>
              <w:jc w:val="center"/>
              <w:rPr>
                <w:kern w:val="0"/>
                <w:sz w:val="18"/>
                <w:szCs w:val="18"/>
              </w:rPr>
            </w:pPr>
            <w:r>
              <w:rPr>
                <w:kern w:val="0"/>
                <w:sz w:val="18"/>
                <w:szCs w:val="18"/>
              </w:rPr>
              <w:t>省部级教学成果奖</w:t>
            </w:r>
          </w:p>
        </w:tc>
        <w:tc>
          <w:tcPr>
            <w:tcW w:w="1088" w:type="dxa"/>
            <w:tcBorders>
              <w:top w:val="single" w:color="auto" w:sz="2" w:space="0"/>
              <w:bottom w:val="single" w:color="auto" w:sz="2" w:space="0"/>
            </w:tcBorders>
            <w:shd w:val="clear" w:color="auto" w:fill="auto"/>
            <w:noWrap/>
            <w:vAlign w:val="center"/>
          </w:tcPr>
          <w:p>
            <w:pPr>
              <w:adjustRightInd w:val="0"/>
              <w:snapToGrid w:val="0"/>
              <w:jc w:val="right"/>
              <w:rPr>
                <w:kern w:val="0"/>
                <w:sz w:val="18"/>
                <w:szCs w:val="18"/>
              </w:rPr>
            </w:pPr>
            <w:r>
              <w:rPr>
                <w:rFonts w:hint="eastAsia"/>
                <w:kern w:val="0"/>
                <w:sz w:val="18"/>
                <w:szCs w:val="18"/>
              </w:rPr>
              <w:t>2项</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69" w:hRule="atLeast"/>
          <w:jc w:val="center"/>
        </w:trPr>
        <w:tc>
          <w:tcPr>
            <w:tcW w:w="804" w:type="dxa"/>
            <w:vMerge w:val="restart"/>
            <w:tcBorders>
              <w:top w:val="single" w:color="auto" w:sz="12" w:space="0"/>
            </w:tcBorders>
            <w:shd w:val="clear" w:color="auto" w:fill="auto"/>
            <w:noWrap/>
            <w:tcMar>
              <w:left w:w="0" w:type="dxa"/>
              <w:right w:w="0" w:type="dxa"/>
            </w:tcMar>
            <w:vAlign w:val="center"/>
          </w:tcPr>
          <w:p>
            <w:pPr>
              <w:widowControl/>
              <w:adjustRightInd w:val="0"/>
              <w:snapToGrid w:val="0"/>
              <w:spacing w:line="360" w:lineRule="auto"/>
              <w:jc w:val="center"/>
              <w:rPr>
                <w:b/>
                <w:kern w:val="0"/>
                <w:sz w:val="18"/>
                <w:szCs w:val="18"/>
              </w:rPr>
            </w:pPr>
            <w:r>
              <w:rPr>
                <w:b/>
                <w:kern w:val="0"/>
                <w:sz w:val="18"/>
                <w:szCs w:val="18"/>
              </w:rPr>
              <w:t>开放与</w:t>
            </w:r>
          </w:p>
          <w:p>
            <w:pPr>
              <w:widowControl/>
              <w:adjustRightInd w:val="0"/>
              <w:snapToGrid w:val="0"/>
              <w:spacing w:line="360" w:lineRule="auto"/>
              <w:jc w:val="center"/>
              <w:rPr>
                <w:b/>
                <w:kern w:val="0"/>
                <w:sz w:val="18"/>
                <w:szCs w:val="18"/>
              </w:rPr>
            </w:pPr>
            <w:r>
              <w:rPr>
                <w:b/>
                <w:kern w:val="0"/>
                <w:sz w:val="18"/>
                <w:szCs w:val="18"/>
              </w:rPr>
              <w:t>运行管理</w:t>
            </w:r>
          </w:p>
        </w:tc>
        <w:tc>
          <w:tcPr>
            <w:tcW w:w="1262" w:type="dxa"/>
            <w:tcBorders>
              <w:top w:val="single" w:color="auto" w:sz="12" w:space="0"/>
            </w:tcBorders>
            <w:shd w:val="clear" w:color="auto" w:fill="auto"/>
            <w:noWrap/>
            <w:vAlign w:val="center"/>
          </w:tcPr>
          <w:p>
            <w:pPr>
              <w:widowControl/>
              <w:adjustRightInd w:val="0"/>
              <w:snapToGrid w:val="0"/>
              <w:jc w:val="center"/>
              <w:rPr>
                <w:kern w:val="0"/>
                <w:sz w:val="18"/>
                <w:szCs w:val="18"/>
              </w:rPr>
            </w:pPr>
            <w:r>
              <w:rPr>
                <w:kern w:val="0"/>
                <w:sz w:val="18"/>
                <w:szCs w:val="18"/>
              </w:rPr>
              <w:t>承办学术会议</w:t>
            </w:r>
          </w:p>
        </w:tc>
        <w:tc>
          <w:tcPr>
            <w:tcW w:w="896" w:type="dxa"/>
            <w:tcBorders>
              <w:top w:val="single" w:color="auto" w:sz="12" w:space="0"/>
            </w:tcBorders>
            <w:shd w:val="clear" w:color="auto" w:fill="auto"/>
            <w:noWrap/>
            <w:vAlign w:val="center"/>
          </w:tcPr>
          <w:p>
            <w:pPr>
              <w:widowControl/>
              <w:adjustRightInd w:val="0"/>
              <w:snapToGrid w:val="0"/>
              <w:jc w:val="center"/>
              <w:rPr>
                <w:kern w:val="0"/>
                <w:sz w:val="18"/>
                <w:szCs w:val="18"/>
              </w:rPr>
            </w:pPr>
            <w:r>
              <w:rPr>
                <w:kern w:val="0"/>
                <w:sz w:val="18"/>
                <w:szCs w:val="18"/>
              </w:rPr>
              <w:t>国际</w:t>
            </w:r>
          </w:p>
        </w:tc>
        <w:tc>
          <w:tcPr>
            <w:tcW w:w="2671" w:type="dxa"/>
            <w:gridSpan w:val="7"/>
            <w:tcBorders>
              <w:top w:val="single" w:color="auto" w:sz="12" w:space="0"/>
            </w:tcBorders>
            <w:shd w:val="clear" w:color="auto" w:fill="auto"/>
            <w:vAlign w:val="center"/>
          </w:tcPr>
          <w:p>
            <w:pPr>
              <w:widowControl/>
              <w:adjustRightInd w:val="0"/>
              <w:snapToGrid w:val="0"/>
              <w:jc w:val="right"/>
              <w:rPr>
                <w:kern w:val="0"/>
                <w:sz w:val="18"/>
                <w:szCs w:val="18"/>
              </w:rPr>
            </w:pPr>
            <w:r>
              <w:rPr>
                <w:rFonts w:hint="eastAsia"/>
                <w:kern w:val="0"/>
                <w:sz w:val="18"/>
                <w:szCs w:val="18"/>
              </w:rPr>
              <w:t>2</w:t>
            </w:r>
            <w:r>
              <w:rPr>
                <w:kern w:val="0"/>
                <w:sz w:val="18"/>
                <w:szCs w:val="18"/>
              </w:rPr>
              <w:t>次</w:t>
            </w:r>
          </w:p>
        </w:tc>
        <w:tc>
          <w:tcPr>
            <w:tcW w:w="1135" w:type="dxa"/>
            <w:gridSpan w:val="3"/>
            <w:tcBorders>
              <w:top w:val="single" w:color="auto" w:sz="12" w:space="0"/>
            </w:tcBorders>
            <w:shd w:val="clear" w:color="auto" w:fill="auto"/>
            <w:tcMar>
              <w:left w:w="0" w:type="dxa"/>
              <w:right w:w="0" w:type="dxa"/>
            </w:tcMar>
            <w:vAlign w:val="center"/>
          </w:tcPr>
          <w:p>
            <w:pPr>
              <w:widowControl/>
              <w:adjustRightInd w:val="0"/>
              <w:snapToGrid w:val="0"/>
              <w:jc w:val="center"/>
              <w:rPr>
                <w:kern w:val="0"/>
                <w:sz w:val="18"/>
                <w:szCs w:val="18"/>
              </w:rPr>
            </w:pPr>
            <w:r>
              <w:rPr>
                <w:kern w:val="0"/>
                <w:sz w:val="18"/>
                <w:szCs w:val="18"/>
              </w:rPr>
              <w:t>国内</w:t>
            </w:r>
          </w:p>
          <w:p>
            <w:pPr>
              <w:widowControl/>
              <w:adjustRightInd w:val="0"/>
              <w:snapToGrid w:val="0"/>
              <w:jc w:val="center"/>
              <w:rPr>
                <w:kern w:val="0"/>
                <w:sz w:val="18"/>
                <w:szCs w:val="18"/>
              </w:rPr>
            </w:pPr>
            <w:r>
              <w:rPr>
                <w:kern w:val="0"/>
                <w:sz w:val="18"/>
                <w:szCs w:val="18"/>
              </w:rPr>
              <w:t>（含港澳台）</w:t>
            </w:r>
          </w:p>
        </w:tc>
        <w:tc>
          <w:tcPr>
            <w:tcW w:w="2512" w:type="dxa"/>
            <w:gridSpan w:val="4"/>
            <w:tcBorders>
              <w:top w:val="single" w:color="auto" w:sz="12" w:space="0"/>
            </w:tcBorders>
            <w:shd w:val="clear" w:color="auto" w:fill="auto"/>
            <w:noWrap/>
            <w:vAlign w:val="center"/>
          </w:tcPr>
          <w:p>
            <w:pPr>
              <w:widowControl/>
              <w:adjustRightInd w:val="0"/>
              <w:snapToGrid w:val="0"/>
              <w:jc w:val="right"/>
              <w:rPr>
                <w:kern w:val="0"/>
                <w:sz w:val="18"/>
                <w:szCs w:val="18"/>
              </w:rPr>
            </w:pPr>
            <w:r>
              <w:rPr>
                <w:rFonts w:hint="eastAsia"/>
                <w:kern w:val="0"/>
                <w:sz w:val="18"/>
                <w:szCs w:val="18"/>
              </w:rPr>
              <w:t>8</w:t>
            </w:r>
            <w:r>
              <w:rPr>
                <w:kern w:val="0"/>
                <w:sz w:val="18"/>
                <w:szCs w:val="18"/>
              </w:rPr>
              <w:t>次</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69" w:hRule="atLeast"/>
          <w:jc w:val="center"/>
        </w:trPr>
        <w:tc>
          <w:tcPr>
            <w:tcW w:w="804" w:type="dxa"/>
            <w:vMerge w:val="continue"/>
            <w:vAlign w:val="center"/>
          </w:tcPr>
          <w:p>
            <w:pPr>
              <w:widowControl/>
              <w:adjustRightInd w:val="0"/>
              <w:snapToGrid w:val="0"/>
              <w:spacing w:line="360" w:lineRule="auto"/>
              <w:jc w:val="center"/>
              <w:rPr>
                <w:b/>
                <w:kern w:val="0"/>
                <w:sz w:val="18"/>
                <w:szCs w:val="18"/>
              </w:rPr>
            </w:pPr>
          </w:p>
        </w:tc>
        <w:tc>
          <w:tcPr>
            <w:tcW w:w="2158" w:type="dxa"/>
            <w:gridSpan w:val="2"/>
            <w:shd w:val="clear" w:color="auto" w:fill="auto"/>
            <w:noWrap/>
            <w:vAlign w:val="center"/>
          </w:tcPr>
          <w:p>
            <w:pPr>
              <w:widowControl/>
              <w:adjustRightInd w:val="0"/>
              <w:snapToGrid w:val="0"/>
              <w:jc w:val="center"/>
              <w:rPr>
                <w:kern w:val="0"/>
                <w:sz w:val="18"/>
                <w:szCs w:val="18"/>
              </w:rPr>
            </w:pPr>
            <w:r>
              <w:rPr>
                <w:kern w:val="0"/>
                <w:sz w:val="18"/>
                <w:szCs w:val="18"/>
              </w:rPr>
              <w:t>国际合作计划</w:t>
            </w:r>
          </w:p>
        </w:tc>
        <w:tc>
          <w:tcPr>
            <w:tcW w:w="2671" w:type="dxa"/>
            <w:gridSpan w:val="7"/>
            <w:shd w:val="clear" w:color="auto" w:fill="auto"/>
            <w:vAlign w:val="center"/>
          </w:tcPr>
          <w:p>
            <w:pPr>
              <w:widowControl/>
              <w:adjustRightInd w:val="0"/>
              <w:snapToGrid w:val="0"/>
              <w:jc w:val="right"/>
              <w:rPr>
                <w:kern w:val="0"/>
                <w:sz w:val="18"/>
                <w:szCs w:val="18"/>
              </w:rPr>
            </w:pPr>
            <w:r>
              <w:rPr>
                <w:rFonts w:hint="eastAsia"/>
                <w:kern w:val="0"/>
                <w:sz w:val="18"/>
                <w:szCs w:val="18"/>
              </w:rPr>
              <w:t>3</w:t>
            </w:r>
            <w:r>
              <w:rPr>
                <w:kern w:val="0"/>
                <w:sz w:val="18"/>
                <w:szCs w:val="18"/>
              </w:rPr>
              <w:t>项</w:t>
            </w:r>
          </w:p>
        </w:tc>
        <w:tc>
          <w:tcPr>
            <w:tcW w:w="1135" w:type="dxa"/>
            <w:gridSpan w:val="3"/>
            <w:shd w:val="clear" w:color="auto" w:fill="auto"/>
            <w:tcMar>
              <w:left w:w="0" w:type="dxa"/>
              <w:right w:w="0" w:type="dxa"/>
            </w:tcMar>
            <w:vAlign w:val="center"/>
          </w:tcPr>
          <w:p>
            <w:pPr>
              <w:adjustRightInd w:val="0"/>
              <w:snapToGrid w:val="0"/>
              <w:jc w:val="center"/>
              <w:rPr>
                <w:kern w:val="0"/>
                <w:sz w:val="18"/>
                <w:szCs w:val="18"/>
              </w:rPr>
            </w:pPr>
            <w:r>
              <w:rPr>
                <w:kern w:val="0"/>
                <w:sz w:val="18"/>
                <w:szCs w:val="18"/>
              </w:rPr>
              <w:t>国际合作经费</w:t>
            </w:r>
          </w:p>
        </w:tc>
        <w:tc>
          <w:tcPr>
            <w:tcW w:w="2512" w:type="dxa"/>
            <w:gridSpan w:val="4"/>
            <w:shd w:val="clear" w:color="auto" w:fill="auto"/>
            <w:noWrap/>
            <w:vAlign w:val="center"/>
          </w:tcPr>
          <w:p>
            <w:pPr>
              <w:widowControl/>
              <w:adjustRightInd w:val="0"/>
              <w:snapToGrid w:val="0"/>
              <w:jc w:val="right"/>
              <w:rPr>
                <w:kern w:val="0"/>
                <w:sz w:val="18"/>
                <w:szCs w:val="18"/>
              </w:rPr>
            </w:pPr>
            <w:r>
              <w:rPr>
                <w:rFonts w:hint="eastAsia"/>
                <w:kern w:val="0"/>
                <w:sz w:val="18"/>
                <w:szCs w:val="18"/>
              </w:rPr>
              <w:t xml:space="preserve">29 </w:t>
            </w:r>
            <w:r>
              <w:rPr>
                <w:kern w:val="0"/>
                <w:sz w:val="18"/>
                <w:szCs w:val="18"/>
              </w:rPr>
              <w:t>万元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69" w:hRule="atLeast"/>
          <w:jc w:val="center"/>
        </w:trPr>
        <w:tc>
          <w:tcPr>
            <w:tcW w:w="804" w:type="dxa"/>
            <w:vMerge w:val="continue"/>
            <w:vAlign w:val="center"/>
          </w:tcPr>
          <w:p>
            <w:pPr>
              <w:widowControl/>
              <w:adjustRightInd w:val="0"/>
              <w:snapToGrid w:val="0"/>
              <w:spacing w:line="360" w:lineRule="auto"/>
              <w:jc w:val="center"/>
              <w:rPr>
                <w:b/>
                <w:kern w:val="0"/>
                <w:sz w:val="18"/>
                <w:szCs w:val="18"/>
              </w:rPr>
            </w:pPr>
          </w:p>
        </w:tc>
        <w:tc>
          <w:tcPr>
            <w:tcW w:w="2158" w:type="dxa"/>
            <w:gridSpan w:val="2"/>
            <w:shd w:val="clear" w:color="auto" w:fill="auto"/>
            <w:noWrap/>
            <w:vAlign w:val="center"/>
          </w:tcPr>
          <w:p>
            <w:pPr>
              <w:widowControl/>
              <w:adjustRightInd w:val="0"/>
              <w:snapToGrid w:val="0"/>
              <w:jc w:val="center"/>
              <w:rPr>
                <w:kern w:val="0"/>
                <w:sz w:val="18"/>
                <w:szCs w:val="18"/>
              </w:rPr>
            </w:pPr>
            <w:r>
              <w:rPr>
                <w:kern w:val="0"/>
                <w:sz w:val="18"/>
                <w:szCs w:val="18"/>
              </w:rPr>
              <w:t>实验室面积</w:t>
            </w:r>
          </w:p>
        </w:tc>
        <w:tc>
          <w:tcPr>
            <w:tcW w:w="1353" w:type="dxa"/>
            <w:gridSpan w:val="3"/>
            <w:shd w:val="clear" w:color="auto" w:fill="auto"/>
            <w:vAlign w:val="center"/>
          </w:tcPr>
          <w:p>
            <w:pPr>
              <w:widowControl/>
              <w:adjustRightInd w:val="0"/>
              <w:snapToGrid w:val="0"/>
              <w:jc w:val="right"/>
              <w:rPr>
                <w:kern w:val="0"/>
                <w:sz w:val="18"/>
                <w:szCs w:val="18"/>
              </w:rPr>
            </w:pPr>
            <w:r>
              <w:rPr>
                <w:rFonts w:hint="eastAsia"/>
                <w:kern w:val="0"/>
                <w:sz w:val="18"/>
                <w:szCs w:val="18"/>
              </w:rPr>
              <w:t>9000</w:t>
            </w:r>
            <w:r>
              <w:rPr>
                <w:kern w:val="0"/>
                <w:sz w:val="18"/>
                <w:szCs w:val="18"/>
              </w:rPr>
              <w:t>　M</w:t>
            </w:r>
            <w:r>
              <w:rPr>
                <w:kern w:val="0"/>
                <w:sz w:val="18"/>
                <w:szCs w:val="18"/>
                <w:vertAlign w:val="superscript"/>
              </w:rPr>
              <w:t>2</w:t>
            </w:r>
          </w:p>
        </w:tc>
        <w:tc>
          <w:tcPr>
            <w:tcW w:w="1318" w:type="dxa"/>
            <w:gridSpan w:val="4"/>
            <w:shd w:val="clear" w:color="auto" w:fill="auto"/>
            <w:noWrap/>
            <w:vAlign w:val="center"/>
          </w:tcPr>
          <w:p>
            <w:pPr>
              <w:adjustRightInd w:val="0"/>
              <w:snapToGrid w:val="0"/>
              <w:jc w:val="center"/>
              <w:rPr>
                <w:kern w:val="0"/>
                <w:sz w:val="18"/>
                <w:szCs w:val="18"/>
              </w:rPr>
            </w:pPr>
            <w:r>
              <w:rPr>
                <w:kern w:val="0"/>
                <w:sz w:val="18"/>
                <w:szCs w:val="18"/>
              </w:rPr>
              <w:t>实验室网址</w:t>
            </w:r>
          </w:p>
        </w:tc>
        <w:tc>
          <w:tcPr>
            <w:tcW w:w="3647" w:type="dxa"/>
            <w:gridSpan w:val="7"/>
            <w:shd w:val="clear" w:color="auto" w:fill="auto"/>
            <w:tcMar>
              <w:left w:w="0" w:type="dxa"/>
              <w:right w:w="0" w:type="dxa"/>
            </w:tcMar>
            <w:vAlign w:val="center"/>
          </w:tcPr>
          <w:p>
            <w:pPr>
              <w:widowControl/>
              <w:adjustRightInd w:val="0"/>
              <w:snapToGrid w:val="0"/>
              <w:jc w:val="left"/>
              <w:rPr>
                <w:kern w:val="0"/>
                <w:sz w:val="18"/>
                <w:szCs w:val="18"/>
              </w:rPr>
            </w:pPr>
            <w:r>
              <w:rPr>
                <w:rFonts w:hint="eastAsia"/>
                <w:kern w:val="0"/>
                <w:sz w:val="18"/>
                <w:szCs w:val="18"/>
              </w:rPr>
              <w:t xml:space="preserve"> </w:t>
            </w:r>
            <w:r>
              <w:rPr>
                <w:kern w:val="0"/>
                <w:sz w:val="18"/>
                <w:szCs w:val="18"/>
              </w:rPr>
              <w:t>http://www.cmemr.gxnu.edu.cn/</w:t>
            </w:r>
          </w:p>
        </w:tc>
      </w:tr>
      <w:tr>
        <w:tblPrEx>
          <w:tblLayout w:type="fixed"/>
          <w:tblCellMar>
            <w:top w:w="0" w:type="dxa"/>
            <w:left w:w="108" w:type="dxa"/>
            <w:bottom w:w="0" w:type="dxa"/>
            <w:right w:w="108" w:type="dxa"/>
          </w:tblCellMar>
        </w:tblPrEx>
        <w:trPr>
          <w:trHeight w:val="369" w:hRule="atLeast"/>
          <w:jc w:val="center"/>
        </w:trPr>
        <w:tc>
          <w:tcPr>
            <w:tcW w:w="804" w:type="dxa"/>
            <w:vMerge w:val="continue"/>
            <w:vAlign w:val="center"/>
          </w:tcPr>
          <w:p>
            <w:pPr>
              <w:widowControl/>
              <w:adjustRightInd w:val="0"/>
              <w:snapToGrid w:val="0"/>
              <w:spacing w:line="360" w:lineRule="auto"/>
              <w:jc w:val="center"/>
              <w:rPr>
                <w:b/>
                <w:kern w:val="0"/>
                <w:sz w:val="18"/>
                <w:szCs w:val="18"/>
              </w:rPr>
            </w:pPr>
          </w:p>
        </w:tc>
        <w:tc>
          <w:tcPr>
            <w:tcW w:w="2158" w:type="dxa"/>
            <w:gridSpan w:val="2"/>
            <w:shd w:val="clear" w:color="auto" w:fill="auto"/>
            <w:noWrap/>
            <w:tcMar>
              <w:left w:w="0" w:type="dxa"/>
              <w:right w:w="0" w:type="dxa"/>
            </w:tcMar>
            <w:vAlign w:val="center"/>
          </w:tcPr>
          <w:p>
            <w:pPr>
              <w:widowControl/>
              <w:adjustRightInd w:val="0"/>
              <w:snapToGrid w:val="0"/>
              <w:jc w:val="center"/>
              <w:rPr>
                <w:kern w:val="0"/>
                <w:sz w:val="18"/>
                <w:szCs w:val="18"/>
              </w:rPr>
            </w:pPr>
            <w:r>
              <w:rPr>
                <w:kern w:val="0"/>
                <w:sz w:val="18"/>
                <w:szCs w:val="18"/>
              </w:rPr>
              <w:t>主管部门五年经费投入</w:t>
            </w:r>
          </w:p>
        </w:tc>
        <w:tc>
          <w:tcPr>
            <w:tcW w:w="1353" w:type="dxa"/>
            <w:gridSpan w:val="3"/>
            <w:shd w:val="clear" w:color="auto" w:fill="auto"/>
            <w:vAlign w:val="center"/>
          </w:tcPr>
          <w:p>
            <w:pPr>
              <w:adjustRightInd w:val="0"/>
              <w:snapToGrid w:val="0"/>
              <w:jc w:val="right"/>
              <w:rPr>
                <w:kern w:val="0"/>
                <w:sz w:val="18"/>
                <w:szCs w:val="18"/>
              </w:rPr>
            </w:pPr>
            <w:r>
              <w:rPr>
                <w:rFonts w:hint="eastAsia"/>
                <w:kern w:val="0"/>
                <w:sz w:val="18"/>
                <w:szCs w:val="18"/>
              </w:rPr>
              <w:t>6650</w:t>
            </w:r>
            <w:r>
              <w:rPr>
                <w:kern w:val="0"/>
                <w:sz w:val="18"/>
                <w:szCs w:val="18"/>
              </w:rPr>
              <w:t>万元</w:t>
            </w:r>
          </w:p>
          <w:p>
            <w:pPr>
              <w:adjustRightInd w:val="0"/>
              <w:snapToGrid w:val="0"/>
              <w:jc w:val="right"/>
              <w:rPr>
                <w:kern w:val="0"/>
                <w:sz w:val="18"/>
                <w:szCs w:val="18"/>
              </w:rPr>
            </w:pPr>
            <w:r>
              <w:rPr>
                <w:kern w:val="0"/>
                <w:sz w:val="18"/>
                <w:szCs w:val="18"/>
              </w:rPr>
              <w:t>（直属高校不填）</w:t>
            </w:r>
          </w:p>
        </w:tc>
        <w:tc>
          <w:tcPr>
            <w:tcW w:w="2453" w:type="dxa"/>
            <w:gridSpan w:val="7"/>
            <w:shd w:val="clear" w:color="auto" w:fill="auto"/>
            <w:vAlign w:val="center"/>
          </w:tcPr>
          <w:p>
            <w:pPr>
              <w:adjustRightInd w:val="0"/>
              <w:snapToGrid w:val="0"/>
              <w:jc w:val="center"/>
              <w:rPr>
                <w:kern w:val="0"/>
                <w:sz w:val="18"/>
                <w:szCs w:val="18"/>
              </w:rPr>
            </w:pPr>
            <w:r>
              <w:rPr>
                <w:kern w:val="0"/>
                <w:sz w:val="18"/>
                <w:szCs w:val="18"/>
              </w:rPr>
              <w:t>依托单位五年经费投入</w:t>
            </w:r>
          </w:p>
        </w:tc>
        <w:tc>
          <w:tcPr>
            <w:tcW w:w="2512" w:type="dxa"/>
            <w:gridSpan w:val="4"/>
            <w:shd w:val="clear" w:color="auto" w:fill="auto"/>
            <w:vAlign w:val="center"/>
          </w:tcPr>
          <w:p>
            <w:pPr>
              <w:adjustRightInd w:val="0"/>
              <w:snapToGrid w:val="0"/>
              <w:jc w:val="right"/>
              <w:rPr>
                <w:kern w:val="0"/>
                <w:sz w:val="18"/>
                <w:szCs w:val="18"/>
              </w:rPr>
            </w:pPr>
            <w:r>
              <w:rPr>
                <w:rFonts w:hint="eastAsia"/>
                <w:kern w:val="0"/>
                <w:sz w:val="18"/>
                <w:szCs w:val="18"/>
              </w:rPr>
              <w:t xml:space="preserve"> 500 </w:t>
            </w:r>
            <w:r>
              <w:rPr>
                <w:kern w:val="0"/>
                <w:sz w:val="18"/>
                <w:szCs w:val="18"/>
              </w:rPr>
              <w:t>万元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69" w:hRule="atLeast"/>
          <w:jc w:val="center"/>
        </w:trPr>
        <w:tc>
          <w:tcPr>
            <w:tcW w:w="804" w:type="dxa"/>
            <w:vMerge w:val="continue"/>
            <w:vAlign w:val="center"/>
          </w:tcPr>
          <w:p>
            <w:pPr>
              <w:widowControl/>
              <w:adjustRightInd w:val="0"/>
              <w:snapToGrid w:val="0"/>
              <w:spacing w:line="360" w:lineRule="auto"/>
              <w:jc w:val="center"/>
              <w:rPr>
                <w:b/>
                <w:kern w:val="0"/>
                <w:sz w:val="18"/>
                <w:szCs w:val="18"/>
              </w:rPr>
            </w:pPr>
          </w:p>
        </w:tc>
        <w:tc>
          <w:tcPr>
            <w:tcW w:w="1262" w:type="dxa"/>
            <w:shd w:val="clear" w:color="auto" w:fill="auto"/>
            <w:noWrap/>
            <w:tcMar>
              <w:left w:w="0" w:type="dxa"/>
              <w:right w:w="0" w:type="dxa"/>
            </w:tcMar>
            <w:vAlign w:val="center"/>
          </w:tcPr>
          <w:p>
            <w:pPr>
              <w:widowControl/>
              <w:adjustRightInd w:val="0"/>
              <w:snapToGrid w:val="0"/>
              <w:jc w:val="center"/>
              <w:rPr>
                <w:kern w:val="0"/>
                <w:sz w:val="18"/>
                <w:szCs w:val="18"/>
              </w:rPr>
            </w:pPr>
            <w:r>
              <w:rPr>
                <w:w w:val="95"/>
                <w:kern w:val="0"/>
                <w:sz w:val="18"/>
                <w:szCs w:val="18"/>
              </w:rPr>
              <w:t>学术委员会人数</w:t>
            </w:r>
          </w:p>
        </w:tc>
        <w:tc>
          <w:tcPr>
            <w:tcW w:w="896" w:type="dxa"/>
            <w:shd w:val="clear" w:color="auto" w:fill="auto"/>
            <w:vAlign w:val="center"/>
          </w:tcPr>
          <w:p>
            <w:pPr>
              <w:widowControl/>
              <w:adjustRightInd w:val="0"/>
              <w:snapToGrid w:val="0"/>
              <w:jc w:val="right"/>
              <w:rPr>
                <w:kern w:val="0"/>
                <w:sz w:val="18"/>
                <w:szCs w:val="18"/>
              </w:rPr>
            </w:pPr>
            <w:r>
              <w:rPr>
                <w:rFonts w:hint="eastAsia"/>
                <w:kern w:val="0"/>
                <w:sz w:val="18"/>
                <w:szCs w:val="18"/>
              </w:rPr>
              <w:t xml:space="preserve">15 </w:t>
            </w:r>
            <w:r>
              <w:rPr>
                <w:kern w:val="0"/>
                <w:sz w:val="18"/>
                <w:szCs w:val="18"/>
              </w:rPr>
              <w:t>人</w:t>
            </w:r>
          </w:p>
        </w:tc>
        <w:tc>
          <w:tcPr>
            <w:tcW w:w="1353" w:type="dxa"/>
            <w:gridSpan w:val="3"/>
            <w:shd w:val="clear" w:color="auto" w:fill="auto"/>
            <w:vAlign w:val="center"/>
          </w:tcPr>
          <w:p>
            <w:pPr>
              <w:widowControl/>
              <w:adjustRightInd w:val="0"/>
              <w:snapToGrid w:val="0"/>
              <w:jc w:val="center"/>
              <w:rPr>
                <w:kern w:val="0"/>
                <w:sz w:val="18"/>
                <w:szCs w:val="18"/>
              </w:rPr>
            </w:pPr>
            <w:r>
              <w:rPr>
                <w:kern w:val="0"/>
                <w:sz w:val="18"/>
                <w:szCs w:val="18"/>
              </w:rPr>
              <w:t>其中外籍委员</w:t>
            </w:r>
          </w:p>
        </w:tc>
        <w:tc>
          <w:tcPr>
            <w:tcW w:w="1318" w:type="dxa"/>
            <w:gridSpan w:val="4"/>
            <w:shd w:val="clear" w:color="auto" w:fill="auto"/>
            <w:noWrap/>
            <w:vAlign w:val="center"/>
          </w:tcPr>
          <w:p>
            <w:pPr>
              <w:widowControl/>
              <w:adjustRightInd w:val="0"/>
              <w:snapToGrid w:val="0"/>
              <w:jc w:val="right"/>
              <w:rPr>
                <w:kern w:val="0"/>
                <w:sz w:val="18"/>
                <w:szCs w:val="18"/>
              </w:rPr>
            </w:pPr>
            <w:r>
              <w:rPr>
                <w:rFonts w:hint="eastAsia"/>
                <w:kern w:val="0"/>
                <w:sz w:val="18"/>
                <w:szCs w:val="18"/>
              </w:rPr>
              <w:t xml:space="preserve">0 </w:t>
            </w:r>
            <w:r>
              <w:rPr>
                <w:kern w:val="0"/>
                <w:sz w:val="18"/>
                <w:szCs w:val="18"/>
              </w:rPr>
              <w:t>人</w:t>
            </w:r>
          </w:p>
        </w:tc>
        <w:tc>
          <w:tcPr>
            <w:tcW w:w="3647" w:type="dxa"/>
            <w:gridSpan w:val="7"/>
            <w:shd w:val="clear" w:color="auto" w:fill="auto"/>
            <w:vAlign w:val="center"/>
          </w:tcPr>
          <w:p>
            <w:pPr>
              <w:widowControl/>
              <w:adjustRightInd w:val="0"/>
              <w:snapToGrid w:val="0"/>
              <w:jc w:val="left"/>
              <w:rPr>
                <w:kern w:val="0"/>
                <w:sz w:val="18"/>
                <w:szCs w:val="18"/>
              </w:rPr>
            </w:pPr>
            <w:r>
              <w:rPr>
                <w:kern w:val="0"/>
                <w:sz w:val="18"/>
                <w:szCs w:val="18"/>
              </w:rPr>
              <w:t xml:space="preserve">五年共计召开实验室学术委员会议    </w:t>
            </w:r>
            <w:r>
              <w:rPr>
                <w:rFonts w:hint="eastAsia"/>
                <w:kern w:val="0"/>
                <w:sz w:val="18"/>
                <w:szCs w:val="18"/>
              </w:rPr>
              <w:t>5</w:t>
            </w:r>
            <w:r>
              <w:rPr>
                <w:kern w:val="0"/>
                <w:sz w:val="18"/>
                <w:szCs w:val="18"/>
              </w:rPr>
              <w:t xml:space="preserve"> 次</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69" w:hRule="atLeast"/>
          <w:jc w:val="center"/>
        </w:trPr>
        <w:tc>
          <w:tcPr>
            <w:tcW w:w="804" w:type="dxa"/>
            <w:vMerge w:val="continue"/>
            <w:vAlign w:val="center"/>
          </w:tcPr>
          <w:p>
            <w:pPr>
              <w:widowControl/>
              <w:adjustRightInd w:val="0"/>
              <w:snapToGrid w:val="0"/>
              <w:spacing w:line="360" w:lineRule="auto"/>
              <w:jc w:val="center"/>
              <w:rPr>
                <w:b/>
                <w:kern w:val="0"/>
                <w:sz w:val="18"/>
                <w:szCs w:val="18"/>
              </w:rPr>
            </w:pPr>
          </w:p>
        </w:tc>
        <w:tc>
          <w:tcPr>
            <w:tcW w:w="3511" w:type="dxa"/>
            <w:gridSpan w:val="5"/>
            <w:shd w:val="clear" w:color="auto" w:fill="auto"/>
            <w:noWrap/>
            <w:vAlign w:val="center"/>
          </w:tcPr>
          <w:p>
            <w:pPr>
              <w:widowControl/>
              <w:adjustRightInd w:val="0"/>
              <w:snapToGrid w:val="0"/>
              <w:jc w:val="center"/>
              <w:rPr>
                <w:kern w:val="0"/>
                <w:sz w:val="18"/>
                <w:szCs w:val="18"/>
              </w:rPr>
            </w:pPr>
            <w:r>
              <w:rPr>
                <w:kern w:val="0"/>
                <w:sz w:val="18"/>
                <w:szCs w:val="18"/>
              </w:rPr>
              <w:t>五年内是否出现学术不端行为：是□</w:t>
            </w:r>
            <w:r>
              <w:rPr>
                <w:rFonts w:hint="eastAsia"/>
                <w:kern w:val="0"/>
                <w:sz w:val="18"/>
                <w:szCs w:val="18"/>
              </w:rPr>
              <w:t xml:space="preserve"> </w:t>
            </w:r>
            <w:r>
              <w:rPr>
                <w:kern w:val="0"/>
                <w:sz w:val="18"/>
                <w:szCs w:val="18"/>
              </w:rPr>
              <w:t>否</w:t>
            </w:r>
            <w:r>
              <w:rPr>
                <w:rFonts w:hint="eastAsia" w:ascii="宋体" w:hAnsi="宋体"/>
                <w:sz w:val="18"/>
                <w:szCs w:val="18"/>
              </w:rPr>
              <w:sym w:font="Wingdings" w:char="F0FE"/>
            </w:r>
          </w:p>
        </w:tc>
        <w:tc>
          <w:tcPr>
            <w:tcW w:w="4965" w:type="dxa"/>
            <w:gridSpan w:val="11"/>
            <w:shd w:val="clear" w:color="auto" w:fill="auto"/>
            <w:noWrap/>
            <w:vAlign w:val="center"/>
          </w:tcPr>
          <w:p>
            <w:pPr>
              <w:widowControl/>
              <w:adjustRightInd w:val="0"/>
              <w:snapToGrid w:val="0"/>
              <w:jc w:val="center"/>
              <w:rPr>
                <w:kern w:val="0"/>
                <w:sz w:val="18"/>
                <w:szCs w:val="18"/>
              </w:rPr>
            </w:pPr>
            <w:r>
              <w:rPr>
                <w:kern w:val="0"/>
                <w:sz w:val="18"/>
                <w:szCs w:val="18"/>
              </w:rPr>
              <w:t>五年内是否按期进行年度考核：是</w:t>
            </w:r>
            <w:r>
              <w:rPr>
                <w:rFonts w:hint="eastAsia" w:ascii="宋体" w:hAnsi="宋体"/>
                <w:sz w:val="18"/>
                <w:szCs w:val="18"/>
              </w:rPr>
              <w:sym w:font="Wingdings" w:char="F0FE"/>
            </w:r>
            <w:r>
              <w:rPr>
                <w:rFonts w:hint="eastAsia"/>
                <w:kern w:val="0"/>
                <w:sz w:val="18"/>
                <w:szCs w:val="18"/>
              </w:rPr>
              <w:t xml:space="preserve"> </w:t>
            </w:r>
            <w:r>
              <w:rPr>
                <w:kern w:val="0"/>
                <w:sz w:val="18"/>
                <w:szCs w:val="18"/>
              </w:rPr>
              <w:t>否□</w:t>
            </w:r>
            <w:bookmarkStart w:id="5" w:name="_GoBack"/>
            <w:bookmarkEnd w:id="5"/>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69" w:hRule="atLeast"/>
          <w:jc w:val="center"/>
        </w:trPr>
        <w:tc>
          <w:tcPr>
            <w:tcW w:w="804" w:type="dxa"/>
            <w:vMerge w:val="continue"/>
            <w:vAlign w:val="center"/>
          </w:tcPr>
          <w:p>
            <w:pPr>
              <w:widowControl/>
              <w:adjustRightInd w:val="0"/>
              <w:snapToGrid w:val="0"/>
              <w:spacing w:line="360" w:lineRule="auto"/>
              <w:jc w:val="center"/>
              <w:rPr>
                <w:b/>
                <w:kern w:val="0"/>
                <w:sz w:val="18"/>
                <w:szCs w:val="18"/>
              </w:rPr>
            </w:pPr>
          </w:p>
        </w:tc>
        <w:tc>
          <w:tcPr>
            <w:tcW w:w="2799" w:type="dxa"/>
            <w:gridSpan w:val="3"/>
            <w:tcBorders>
              <w:right w:val="single" w:color="auto" w:sz="4" w:space="0"/>
            </w:tcBorders>
            <w:shd w:val="clear" w:color="auto" w:fill="auto"/>
            <w:noWrap/>
            <w:vAlign w:val="center"/>
          </w:tcPr>
          <w:p>
            <w:pPr>
              <w:widowControl/>
              <w:adjustRightInd w:val="0"/>
              <w:snapToGrid w:val="0"/>
              <w:jc w:val="center"/>
              <w:rPr>
                <w:kern w:val="0"/>
                <w:sz w:val="18"/>
                <w:szCs w:val="18"/>
              </w:rPr>
            </w:pPr>
            <w:r>
              <w:rPr>
                <w:kern w:val="0"/>
                <w:sz w:val="18"/>
                <w:szCs w:val="18"/>
              </w:rPr>
              <w:t>实验室科普工作形式</w:t>
            </w:r>
          </w:p>
        </w:tc>
        <w:tc>
          <w:tcPr>
            <w:tcW w:w="5677" w:type="dxa"/>
            <w:gridSpan w:val="13"/>
            <w:tcBorders>
              <w:left w:val="single" w:color="auto" w:sz="4" w:space="0"/>
            </w:tcBorders>
            <w:shd w:val="clear" w:color="auto" w:fill="auto"/>
            <w:vAlign w:val="center"/>
          </w:tcPr>
          <w:p>
            <w:pPr>
              <w:widowControl/>
              <w:adjustRightInd w:val="0"/>
              <w:snapToGrid w:val="0"/>
              <w:spacing w:line="300" w:lineRule="exact"/>
              <w:jc w:val="left"/>
              <w:rPr>
                <w:kern w:val="0"/>
                <w:sz w:val="18"/>
                <w:szCs w:val="18"/>
              </w:rPr>
            </w:pPr>
            <w:r>
              <w:rPr>
                <w:rFonts w:hint="eastAsia"/>
                <w:kern w:val="0"/>
                <w:sz w:val="18"/>
                <w:szCs w:val="18"/>
              </w:rPr>
              <w:t>是否每年有固定的</w:t>
            </w:r>
            <w:r>
              <w:rPr>
                <w:kern w:val="0"/>
                <w:sz w:val="18"/>
                <w:szCs w:val="18"/>
              </w:rPr>
              <w:t>开放日</w:t>
            </w:r>
            <w:r>
              <w:rPr>
                <w:rFonts w:hint="eastAsia"/>
                <w:kern w:val="0"/>
                <w:sz w:val="18"/>
                <w:szCs w:val="18"/>
              </w:rPr>
              <w:t>（</w:t>
            </w:r>
            <w:r>
              <w:rPr>
                <w:rFonts w:hint="eastAsia" w:ascii="宋体" w:hAnsi="宋体"/>
                <w:sz w:val="18"/>
                <w:szCs w:val="18"/>
              </w:rPr>
              <w:sym w:font="Wingdings" w:char="F0FE"/>
            </w:r>
            <w:r>
              <w:rPr>
                <w:rFonts w:hint="eastAsia"/>
                <w:kern w:val="0"/>
                <w:sz w:val="18"/>
                <w:szCs w:val="18"/>
              </w:rPr>
              <w:t xml:space="preserve">是，日期： </w:t>
            </w:r>
            <w:r>
              <w:rPr>
                <w:kern w:val="0"/>
                <w:sz w:val="18"/>
                <w:szCs w:val="18"/>
              </w:rPr>
              <w:t xml:space="preserve"> □</w:t>
            </w:r>
            <w:r>
              <w:rPr>
                <w:rFonts w:hint="eastAsia"/>
                <w:kern w:val="0"/>
                <w:sz w:val="18"/>
                <w:szCs w:val="18"/>
              </w:rPr>
              <w:t>否）</w:t>
            </w:r>
            <w:r>
              <w:rPr>
                <w:kern w:val="0"/>
                <w:sz w:val="18"/>
                <w:szCs w:val="18"/>
              </w:rPr>
              <w:t>，</w:t>
            </w:r>
            <w:r>
              <w:rPr>
                <w:rFonts w:hint="eastAsia"/>
                <w:kern w:val="0"/>
                <w:sz w:val="18"/>
                <w:szCs w:val="18"/>
              </w:rPr>
              <w:t>开放日</w:t>
            </w:r>
            <w:r>
              <w:rPr>
                <w:kern w:val="0"/>
                <w:sz w:val="18"/>
                <w:szCs w:val="18"/>
              </w:rPr>
              <w:t xml:space="preserve">五年累计向社会开放共计    </w:t>
            </w:r>
            <w:r>
              <w:rPr>
                <w:rFonts w:hint="eastAsia"/>
                <w:kern w:val="0"/>
                <w:sz w:val="18"/>
                <w:szCs w:val="18"/>
              </w:rPr>
              <w:t>50</w:t>
            </w:r>
            <w:r>
              <w:rPr>
                <w:kern w:val="0"/>
                <w:sz w:val="18"/>
                <w:szCs w:val="18"/>
              </w:rPr>
              <w:t xml:space="preserve"> 天；</w:t>
            </w:r>
          </w:p>
          <w:p>
            <w:pPr>
              <w:widowControl/>
              <w:adjustRightInd w:val="0"/>
              <w:snapToGrid w:val="0"/>
              <w:spacing w:line="300" w:lineRule="exact"/>
              <w:jc w:val="left"/>
              <w:rPr>
                <w:kern w:val="0"/>
                <w:sz w:val="18"/>
                <w:szCs w:val="18"/>
              </w:rPr>
            </w:pPr>
            <w:r>
              <w:rPr>
                <w:kern w:val="0"/>
                <w:sz w:val="18"/>
                <w:szCs w:val="18"/>
              </w:rPr>
              <w:t xml:space="preserve">科普宣讲，五年累计参与公众       </w:t>
            </w:r>
            <w:r>
              <w:rPr>
                <w:rFonts w:hint="eastAsia"/>
                <w:kern w:val="0"/>
                <w:sz w:val="18"/>
                <w:szCs w:val="18"/>
              </w:rPr>
              <w:t>5000</w:t>
            </w:r>
            <w:r>
              <w:rPr>
                <w:kern w:val="0"/>
                <w:sz w:val="18"/>
                <w:szCs w:val="18"/>
              </w:rPr>
              <w:t xml:space="preserve"> 人次； </w:t>
            </w:r>
          </w:p>
          <w:p>
            <w:pPr>
              <w:adjustRightInd w:val="0"/>
              <w:snapToGrid w:val="0"/>
              <w:spacing w:line="300" w:lineRule="exact"/>
              <w:jc w:val="left"/>
              <w:rPr>
                <w:kern w:val="0"/>
                <w:sz w:val="18"/>
                <w:szCs w:val="18"/>
              </w:rPr>
            </w:pPr>
            <w:r>
              <w:rPr>
                <w:kern w:val="0"/>
                <w:sz w:val="18"/>
                <w:szCs w:val="18"/>
              </w:rPr>
              <w:t xml:space="preserve">科普文章，五年累计发表科普类文章     </w:t>
            </w:r>
            <w:r>
              <w:rPr>
                <w:rFonts w:hint="eastAsia"/>
                <w:kern w:val="0"/>
                <w:sz w:val="18"/>
                <w:szCs w:val="18"/>
              </w:rPr>
              <w:t>8</w:t>
            </w:r>
            <w:r>
              <w:rPr>
                <w:kern w:val="0"/>
                <w:sz w:val="18"/>
                <w:szCs w:val="18"/>
              </w:rPr>
              <w:t xml:space="preserve"> 篇；</w:t>
            </w:r>
          </w:p>
          <w:p>
            <w:pPr>
              <w:adjustRightInd w:val="0"/>
              <w:snapToGrid w:val="0"/>
              <w:spacing w:line="300" w:lineRule="exact"/>
              <w:jc w:val="left"/>
              <w:rPr>
                <w:kern w:val="0"/>
                <w:sz w:val="18"/>
                <w:szCs w:val="18"/>
              </w:rPr>
            </w:pPr>
            <w:r>
              <w:rPr>
                <w:kern w:val="0"/>
                <w:sz w:val="18"/>
                <w:szCs w:val="18"/>
              </w:rPr>
              <w:t>其他：</w:t>
            </w:r>
            <w:r>
              <w:rPr>
                <w:rFonts w:hint="eastAsia"/>
                <w:kern w:val="0"/>
                <w:sz w:val="18"/>
                <w:szCs w:val="18"/>
              </w:rPr>
              <w:t xml:space="preserve"> </w:t>
            </w:r>
          </w:p>
        </w:tc>
      </w:tr>
    </w:tbl>
    <w:p>
      <w:pPr>
        <w:widowControl/>
        <w:jc w:val="left"/>
        <w:rPr>
          <w:rFonts w:eastAsia="黑体"/>
          <w:b/>
          <w:sz w:val="32"/>
          <w:szCs w:val="24"/>
        </w:rPr>
      </w:pPr>
      <w:r>
        <w:rPr>
          <w:rFonts w:eastAsia="黑体"/>
          <w:sz w:val="32"/>
          <w:szCs w:val="24"/>
        </w:rPr>
        <w:br w:type="page"/>
      </w:r>
      <w:r>
        <w:rPr>
          <w:rFonts w:eastAsia="黑体"/>
          <w:sz w:val="32"/>
          <w:szCs w:val="24"/>
        </w:rPr>
        <w:t>二</w:t>
      </w:r>
      <w:r>
        <w:rPr>
          <w:rFonts w:eastAsia="黑体"/>
          <w:b/>
          <w:sz w:val="32"/>
          <w:szCs w:val="24"/>
        </w:rPr>
        <w:t>、研究水平与贡献</w:t>
      </w:r>
    </w:p>
    <w:p>
      <w:pPr>
        <w:adjustRightInd w:val="0"/>
        <w:snapToGrid w:val="0"/>
        <w:spacing w:line="360" w:lineRule="auto"/>
        <w:ind w:firstLine="562" w:firstLineChars="200"/>
        <w:rPr>
          <w:rFonts w:eastAsia="黑体"/>
          <w:b/>
          <w:sz w:val="28"/>
          <w:szCs w:val="24"/>
        </w:rPr>
      </w:pPr>
      <w:r>
        <w:rPr>
          <w:rFonts w:eastAsia="黑体"/>
          <w:b/>
          <w:sz w:val="28"/>
          <w:szCs w:val="24"/>
        </w:rPr>
        <w:t>1、科学影响及面向国家需求情况</w:t>
      </w:r>
    </w:p>
    <w:tbl>
      <w:tblPr>
        <w:tblStyle w:val="15"/>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84" w:hRule="atLeast"/>
          <w:jc w:val="center"/>
        </w:trPr>
        <w:tc>
          <w:tcPr>
            <w:tcW w:w="8505" w:type="dxa"/>
          </w:tcPr>
          <w:p>
            <w:pPr>
              <w:adjustRightInd w:val="0"/>
              <w:snapToGrid w:val="0"/>
              <w:ind w:firstLine="480" w:firstLineChars="200"/>
              <w:rPr>
                <w:rFonts w:eastAsia="楷体_GB2312"/>
                <w:sz w:val="24"/>
                <w:szCs w:val="24"/>
              </w:rPr>
            </w:pPr>
            <w:r>
              <w:rPr>
                <w:rFonts w:eastAsia="楷体_GB2312"/>
                <w:sz w:val="24"/>
                <w:szCs w:val="24"/>
              </w:rPr>
              <w:t>简述实验室总体定位。结合研究方向，客观评价实验室在国内外相关学科领域中的地位和影响，在国家科技发展、社会经济发展、国家安全中的作用等。（800字以内）</w:t>
            </w:r>
          </w:p>
          <w:p>
            <w:pPr>
              <w:adjustRightInd w:val="0"/>
              <w:snapToGrid w:val="0"/>
              <w:spacing w:line="420" w:lineRule="exact"/>
              <w:ind w:firstLine="480" w:firstLineChars="200"/>
              <w:rPr>
                <w:sz w:val="24"/>
                <w:szCs w:val="24"/>
              </w:rPr>
            </w:pPr>
            <w:r>
              <w:rPr>
                <w:rFonts w:hint="eastAsia"/>
                <w:sz w:val="24"/>
                <w:szCs w:val="24"/>
              </w:rPr>
              <w:t>本</w:t>
            </w:r>
            <w:r>
              <w:rPr>
                <w:sz w:val="24"/>
                <w:szCs w:val="24"/>
              </w:rPr>
              <w:t>实验室成立于2001年，依托广西师范大学，2005年被广西科技厅确认为首批广西壮族自治区重点实验室，2008年获批准为教育部重点实验室，2010年获批准为省部共建国家重点实验室培育基地，2012年被评为全国优秀省部共建国家重点实验室培育基地，</w:t>
            </w:r>
            <w:r>
              <w:rPr>
                <w:b/>
                <w:sz w:val="24"/>
                <w:szCs w:val="24"/>
              </w:rPr>
              <w:t>2016年获批准为省部共建国家重点实验室</w:t>
            </w:r>
            <w:r>
              <w:rPr>
                <w:sz w:val="24"/>
                <w:szCs w:val="24"/>
              </w:rPr>
              <w:t>，是目前广西唯一的省部共建国家重点实验室实验室。</w:t>
            </w:r>
          </w:p>
          <w:p>
            <w:pPr>
              <w:adjustRightInd w:val="0"/>
              <w:snapToGrid w:val="0"/>
              <w:spacing w:line="420" w:lineRule="exact"/>
              <w:ind w:firstLine="482" w:firstLineChars="200"/>
              <w:rPr>
                <w:sz w:val="24"/>
                <w:szCs w:val="24"/>
              </w:rPr>
            </w:pPr>
            <w:r>
              <w:rPr>
                <w:rFonts w:hint="eastAsia"/>
                <w:b/>
                <w:sz w:val="24"/>
                <w:szCs w:val="24"/>
              </w:rPr>
              <w:t>本实验室总体定位</w:t>
            </w:r>
            <w:r>
              <w:rPr>
                <w:sz w:val="24"/>
                <w:szCs w:val="24"/>
              </w:rPr>
              <w:t>：</w:t>
            </w:r>
            <w:r>
              <w:rPr>
                <w:rFonts w:hint="eastAsia"/>
                <w:sz w:val="24"/>
                <w:szCs w:val="24"/>
              </w:rPr>
              <w:t>以国家和广西医药产业发展重大需求为导向，服务国家中药国际化战略，针对制约中药产业发展的瓶颈科学问题，开展基础研究和应用研究。经过多年的建设，实验室形成</w:t>
            </w:r>
            <w:r>
              <w:rPr>
                <w:sz w:val="24"/>
                <w:szCs w:val="24"/>
              </w:rPr>
              <w:t>了三个</w:t>
            </w:r>
            <w:r>
              <w:rPr>
                <w:rFonts w:hint="eastAsia"/>
                <w:sz w:val="24"/>
                <w:szCs w:val="24"/>
              </w:rPr>
              <w:t>稳定的</w:t>
            </w:r>
            <w:r>
              <w:rPr>
                <w:sz w:val="24"/>
                <w:szCs w:val="24"/>
              </w:rPr>
              <w:t>研究方向：药用资源的药效物质基础与作用机制、药用资源活性先导物及其金属药物化学、药用资源药效物质转运系统与药物载体。</w:t>
            </w:r>
          </w:p>
          <w:p>
            <w:pPr>
              <w:adjustRightInd w:val="0"/>
              <w:snapToGrid w:val="0"/>
              <w:spacing w:line="420" w:lineRule="exact"/>
              <w:ind w:firstLine="480" w:firstLineChars="200"/>
              <w:rPr>
                <w:sz w:val="24"/>
                <w:szCs w:val="24"/>
              </w:rPr>
            </w:pPr>
            <w:r>
              <w:rPr>
                <w:rFonts w:hint="eastAsia"/>
                <w:sz w:val="24"/>
                <w:szCs w:val="24"/>
              </w:rPr>
              <w:t>在</w:t>
            </w:r>
            <w:r>
              <w:rPr>
                <w:sz w:val="24"/>
                <w:szCs w:val="24"/>
              </w:rPr>
              <w:t>药用资源的药效物质基础与作用机制</w:t>
            </w:r>
            <w:r>
              <w:rPr>
                <w:rFonts w:hint="eastAsia"/>
                <w:sz w:val="24"/>
                <w:szCs w:val="24"/>
              </w:rPr>
              <w:t>研究方向，实验室深入开展系列壮瑶药的药效物质基础和作用机制研究，阐释其科学内涵，带动了广西壮瑶药基础研究水平的提升；开发了实用新技术，为广西特色药用资源的开发利用提供技术支撑。</w:t>
            </w:r>
          </w:p>
          <w:p>
            <w:pPr>
              <w:adjustRightInd w:val="0"/>
              <w:snapToGrid w:val="0"/>
              <w:spacing w:line="420" w:lineRule="exact"/>
              <w:ind w:firstLine="480" w:firstLineChars="200"/>
              <w:rPr>
                <w:sz w:val="24"/>
                <w:szCs w:val="24"/>
              </w:rPr>
            </w:pPr>
            <w:r>
              <w:rPr>
                <w:rFonts w:hint="eastAsia"/>
                <w:sz w:val="24"/>
                <w:szCs w:val="24"/>
              </w:rPr>
              <w:t>在</w:t>
            </w:r>
            <w:r>
              <w:rPr>
                <w:sz w:val="24"/>
                <w:szCs w:val="24"/>
              </w:rPr>
              <w:t>药用资源活性先导物及其金属药物化学</w:t>
            </w:r>
            <w:r>
              <w:rPr>
                <w:rFonts w:hint="eastAsia"/>
                <w:sz w:val="24"/>
                <w:szCs w:val="24"/>
              </w:rPr>
              <w:t>研究方向，实验室开展天然活性先导化合物合成和结构改造研究，解决药理活性研究样品数量和多样性不足的瓶颈问题，促进了绿色合成新方法的发展。以活性为导向，发挥天然活性成分与金属中心的协同药效作用，</w:t>
            </w:r>
            <w:r>
              <w:rPr>
                <w:b/>
                <w:sz w:val="24"/>
                <w:szCs w:val="24"/>
              </w:rPr>
              <w:t>开</w:t>
            </w:r>
            <w:r>
              <w:rPr>
                <w:rFonts w:hint="eastAsia"/>
                <w:b/>
                <w:sz w:val="24"/>
                <w:szCs w:val="24"/>
              </w:rPr>
              <w:t>创</w:t>
            </w:r>
            <w:r>
              <w:rPr>
                <w:b/>
                <w:sz w:val="24"/>
                <w:szCs w:val="24"/>
              </w:rPr>
              <w:t>了</w:t>
            </w:r>
            <w:r>
              <w:rPr>
                <w:rFonts w:hint="eastAsia"/>
                <w:b/>
                <w:sz w:val="24"/>
                <w:szCs w:val="24"/>
              </w:rPr>
              <w:t>中药</w:t>
            </w:r>
            <w:r>
              <w:rPr>
                <w:b/>
                <w:sz w:val="24"/>
                <w:szCs w:val="24"/>
              </w:rPr>
              <w:t>活性成分金属药物</w:t>
            </w:r>
            <w:r>
              <w:rPr>
                <w:rFonts w:hint="eastAsia"/>
                <w:b/>
                <w:sz w:val="24"/>
                <w:szCs w:val="24"/>
              </w:rPr>
              <w:t>化学</w:t>
            </w:r>
            <w:r>
              <w:rPr>
                <w:b/>
                <w:sz w:val="24"/>
                <w:szCs w:val="24"/>
              </w:rPr>
              <w:t>研究</w:t>
            </w:r>
            <w:r>
              <w:rPr>
                <w:rFonts w:hint="eastAsia"/>
                <w:b/>
                <w:sz w:val="24"/>
                <w:szCs w:val="24"/>
              </w:rPr>
              <w:t>新领域</w:t>
            </w:r>
            <w:r>
              <w:rPr>
                <w:b/>
                <w:sz w:val="24"/>
                <w:szCs w:val="24"/>
              </w:rPr>
              <w:t>，</w:t>
            </w:r>
            <w:r>
              <w:rPr>
                <w:rFonts w:hint="eastAsia"/>
                <w:b/>
                <w:sz w:val="24"/>
                <w:szCs w:val="24"/>
              </w:rPr>
              <w:t>使之成为本实验室的特色研究方向</w:t>
            </w:r>
            <w:r>
              <w:rPr>
                <w:sz w:val="24"/>
                <w:szCs w:val="24"/>
              </w:rPr>
              <w:t>，</w:t>
            </w:r>
            <w:r>
              <w:rPr>
                <w:rFonts w:hint="eastAsia"/>
                <w:sz w:val="24"/>
                <w:szCs w:val="24"/>
              </w:rPr>
              <w:t>推动了天然活性成分金属药物化学</w:t>
            </w:r>
            <w:r>
              <w:rPr>
                <w:sz w:val="24"/>
                <w:szCs w:val="24"/>
              </w:rPr>
              <w:t>新兴和交叉学科领域的形成</w:t>
            </w:r>
            <w:r>
              <w:rPr>
                <w:rFonts w:hint="eastAsia"/>
                <w:sz w:val="24"/>
                <w:szCs w:val="24"/>
              </w:rPr>
              <w:t>和发展，产生了积极的国际影响</w:t>
            </w:r>
            <w:r>
              <w:rPr>
                <w:sz w:val="24"/>
                <w:szCs w:val="24"/>
              </w:rPr>
              <w:t>。</w:t>
            </w:r>
          </w:p>
          <w:p>
            <w:pPr>
              <w:adjustRightInd w:val="0"/>
              <w:snapToGrid w:val="0"/>
              <w:spacing w:line="420" w:lineRule="exact"/>
              <w:ind w:firstLine="480" w:firstLineChars="200"/>
              <w:rPr>
                <w:sz w:val="24"/>
                <w:szCs w:val="24"/>
              </w:rPr>
            </w:pPr>
            <w:r>
              <w:rPr>
                <w:rFonts w:hint="eastAsia"/>
                <w:sz w:val="24"/>
                <w:szCs w:val="24"/>
              </w:rPr>
              <w:t>在</w:t>
            </w:r>
            <w:r>
              <w:rPr>
                <w:sz w:val="24"/>
                <w:szCs w:val="24"/>
              </w:rPr>
              <w:t>药用资源药效物质转运系统与药物载体</w:t>
            </w:r>
            <w:r>
              <w:rPr>
                <w:rFonts w:hint="eastAsia"/>
                <w:sz w:val="24"/>
                <w:szCs w:val="24"/>
              </w:rPr>
              <w:t>研究方向，实验室开展小分子-蛋白</w:t>
            </w:r>
            <w:r>
              <w:rPr>
                <w:sz w:val="24"/>
                <w:szCs w:val="24"/>
              </w:rPr>
              <w:t>质药物载体、</w:t>
            </w:r>
            <w:r>
              <w:rPr>
                <w:rFonts w:hint="eastAsia"/>
                <w:sz w:val="24"/>
                <w:szCs w:val="24"/>
              </w:rPr>
              <w:t>新型诊疗纳米材料、多功能单细胞分析仪等研究，为新药物载体、诊疗一体化治疗剂和生命过程分子机制研究等提供新方法、新技术和新设备</w:t>
            </w:r>
            <w:r>
              <w:rPr>
                <w:sz w:val="24"/>
                <w:szCs w:val="24"/>
              </w:rPr>
              <w:t>。</w:t>
            </w:r>
          </w:p>
          <w:p>
            <w:pPr>
              <w:adjustRightInd w:val="0"/>
              <w:snapToGrid w:val="0"/>
              <w:spacing w:line="420" w:lineRule="exact"/>
              <w:ind w:firstLine="480" w:firstLineChars="200"/>
              <w:rPr>
                <w:rFonts w:eastAsia="楷体_GB2312"/>
                <w:sz w:val="24"/>
                <w:szCs w:val="24"/>
              </w:rPr>
            </w:pPr>
            <w:r>
              <w:rPr>
                <w:sz w:val="24"/>
                <w:szCs w:val="24"/>
              </w:rPr>
              <w:t>广西作为中国与东盟合作的 “桥头堡”</w:t>
            </w:r>
            <w:r>
              <w:rPr>
                <w:rFonts w:hint="eastAsia"/>
                <w:sz w:val="24"/>
                <w:szCs w:val="24"/>
              </w:rPr>
              <w:t>和</w:t>
            </w:r>
            <w:r>
              <w:rPr>
                <w:sz w:val="24"/>
                <w:szCs w:val="24"/>
              </w:rPr>
              <w:t>“一带一路”的重要门户，本实验室与泰国</w:t>
            </w:r>
            <w:r>
              <w:rPr>
                <w:rFonts w:hint="eastAsia"/>
                <w:sz w:val="24"/>
                <w:szCs w:val="24"/>
              </w:rPr>
              <w:t>、</w:t>
            </w:r>
            <w:r>
              <w:rPr>
                <w:sz w:val="24"/>
                <w:szCs w:val="24"/>
              </w:rPr>
              <w:t>印尼等开展交流与合作</w:t>
            </w:r>
            <w:r>
              <w:rPr>
                <w:rFonts w:hint="eastAsia"/>
                <w:sz w:val="24"/>
                <w:szCs w:val="24"/>
              </w:rPr>
              <w:t>，</w:t>
            </w:r>
            <w:r>
              <w:rPr>
                <w:sz w:val="24"/>
                <w:szCs w:val="24"/>
              </w:rPr>
              <w:t>特别</w:t>
            </w:r>
            <w:r>
              <w:rPr>
                <w:rFonts w:hint="eastAsia"/>
                <w:sz w:val="24"/>
                <w:szCs w:val="24"/>
              </w:rPr>
              <w:t>是与巴基斯坦化学与生物国际中心（ICCBS）共建了中巴国际联合实验室，为加强中巴的科技交流合作发挥积极作用。</w:t>
            </w:r>
          </w:p>
        </w:tc>
      </w:tr>
    </w:tbl>
    <w:p>
      <w:pPr>
        <w:adjustRightInd w:val="0"/>
        <w:snapToGrid w:val="0"/>
        <w:spacing w:line="360" w:lineRule="auto"/>
        <w:ind w:firstLine="562" w:firstLineChars="200"/>
        <w:rPr>
          <w:rFonts w:eastAsia="黑体"/>
          <w:b/>
          <w:sz w:val="28"/>
          <w:szCs w:val="24"/>
        </w:rPr>
      </w:pPr>
    </w:p>
    <w:p>
      <w:pPr>
        <w:adjustRightInd w:val="0"/>
        <w:snapToGrid w:val="0"/>
        <w:spacing w:line="360" w:lineRule="auto"/>
        <w:ind w:firstLine="562" w:firstLineChars="200"/>
        <w:rPr>
          <w:rFonts w:eastAsia="黑体"/>
          <w:b/>
          <w:sz w:val="28"/>
          <w:szCs w:val="24"/>
        </w:rPr>
      </w:pPr>
      <w:r>
        <w:rPr>
          <w:rFonts w:eastAsia="黑体"/>
          <w:b/>
          <w:sz w:val="28"/>
          <w:szCs w:val="24"/>
        </w:rPr>
        <w:t>2、研究成果与贡献</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8" w:hRule="atLeast"/>
        </w:trPr>
        <w:tc>
          <w:tcPr>
            <w:tcW w:w="8522" w:type="dxa"/>
          </w:tcPr>
          <w:p>
            <w:pPr>
              <w:adjustRightInd w:val="0"/>
              <w:snapToGrid w:val="0"/>
              <w:ind w:firstLine="480" w:firstLineChars="200"/>
              <w:rPr>
                <w:rFonts w:eastAsia="楷体_GB2312"/>
                <w:sz w:val="24"/>
                <w:szCs w:val="24"/>
              </w:rPr>
            </w:pPr>
            <w:r>
              <w:rPr>
                <w:rFonts w:eastAsia="楷体_GB2312"/>
                <w:sz w:val="24"/>
                <w:szCs w:val="24"/>
              </w:rPr>
              <w:t>结合研究方向，简要概述取得的重要研究成果与进展，包括论文和专著、标准和规范、发明专利、仪器研发方法创新、政策咨询、基础性工作等。总结实验室对国家战略需求、地方经济社会发展、行业产业科技创新的贡献，以及产生的社会影响和效益。（1000字以内）</w:t>
            </w:r>
          </w:p>
          <w:p>
            <w:pPr>
              <w:adjustRightInd w:val="0"/>
              <w:snapToGrid w:val="0"/>
              <w:ind w:firstLine="480" w:firstLineChars="200"/>
              <w:rPr>
                <w:rFonts w:eastAsia="楷体_GB2312"/>
                <w:sz w:val="24"/>
                <w:szCs w:val="24"/>
              </w:rPr>
            </w:pPr>
          </w:p>
          <w:p>
            <w:pPr>
              <w:adjustRightInd w:val="0"/>
              <w:snapToGrid w:val="0"/>
              <w:spacing w:line="360" w:lineRule="auto"/>
              <w:ind w:firstLine="480" w:firstLineChars="200"/>
              <w:rPr>
                <w:rFonts w:eastAsiaTheme="minorEastAsia"/>
                <w:sz w:val="24"/>
                <w:szCs w:val="24"/>
              </w:rPr>
            </w:pPr>
            <w:r>
              <w:rPr>
                <w:rFonts w:eastAsiaTheme="minorEastAsia"/>
                <w:sz w:val="24"/>
                <w:szCs w:val="24"/>
              </w:rPr>
              <w:t>广西是中国的四大药材基地之一</w:t>
            </w:r>
            <w:r>
              <w:rPr>
                <w:rFonts w:hint="eastAsia" w:eastAsiaTheme="minorEastAsia"/>
                <w:sz w:val="24"/>
                <w:szCs w:val="24"/>
              </w:rPr>
              <w:t>，药用资源排名</w:t>
            </w:r>
            <w:r>
              <w:rPr>
                <w:rFonts w:eastAsiaTheme="minorEastAsia"/>
                <w:sz w:val="24"/>
                <w:szCs w:val="24"/>
              </w:rPr>
              <w:t>全国第一。目前全国400多种常用中药</w:t>
            </w:r>
            <w:r>
              <w:rPr>
                <w:rFonts w:hint="eastAsia" w:eastAsiaTheme="minorEastAsia"/>
                <w:sz w:val="24"/>
                <w:szCs w:val="24"/>
              </w:rPr>
              <w:t>材</w:t>
            </w:r>
            <w:r>
              <w:rPr>
                <w:rFonts w:eastAsiaTheme="minorEastAsia"/>
                <w:sz w:val="24"/>
                <w:szCs w:val="24"/>
              </w:rPr>
              <w:t>，有70多种主要来源于广西，其中10多种占全国总产量的50％</w:t>
            </w:r>
            <w:r>
              <w:rPr>
                <w:rFonts w:eastAsiaTheme="minorEastAsia"/>
                <w:sz w:val="24"/>
                <w:szCs w:val="24"/>
              </w:rPr>
              <w:sym w:font="Symbol" w:char="F02D"/>
            </w:r>
            <w:r>
              <w:rPr>
                <w:rFonts w:eastAsiaTheme="minorEastAsia"/>
                <w:sz w:val="24"/>
                <w:szCs w:val="24"/>
              </w:rPr>
              <w:t>80％，罗汉果、鸡血藤、广豆根高达90％以上。本实验室面向国家重大需求，坚持区域特色，坚持问题导向</w:t>
            </w:r>
            <w:r>
              <w:rPr>
                <w:rFonts w:hint="eastAsia" w:eastAsiaTheme="minorEastAsia"/>
                <w:sz w:val="24"/>
                <w:szCs w:val="24"/>
              </w:rPr>
              <w:t>，</w:t>
            </w:r>
            <w:r>
              <w:rPr>
                <w:rFonts w:eastAsiaTheme="minorEastAsia"/>
                <w:sz w:val="24"/>
                <w:szCs w:val="24"/>
              </w:rPr>
              <w:t>在上述三个稳定的研究方向开展持续研究，取得了重要进展，产生了有显示度的成果</w:t>
            </w:r>
            <w:r>
              <w:rPr>
                <w:rFonts w:hint="eastAsia" w:eastAsiaTheme="minorEastAsia"/>
                <w:sz w:val="24"/>
                <w:szCs w:val="24"/>
              </w:rPr>
              <w:t>，</w:t>
            </w:r>
            <w:r>
              <w:rPr>
                <w:rFonts w:hint="eastAsia"/>
                <w:sz w:val="24"/>
                <w:szCs w:val="24"/>
              </w:rPr>
              <w:t>带动了广西药学和化学水平的提升，为大健康产业提供学术支撑</w:t>
            </w:r>
            <w:r>
              <w:rPr>
                <w:rFonts w:eastAsiaTheme="minorEastAsia"/>
                <w:sz w:val="24"/>
                <w:szCs w:val="24"/>
              </w:rPr>
              <w:t>。2014-2018年以重点实验室为通讯作者单位共发表SCI论文41</w:t>
            </w:r>
            <w:r>
              <w:rPr>
                <w:rFonts w:hint="eastAsia" w:eastAsiaTheme="minorEastAsia"/>
                <w:sz w:val="24"/>
                <w:szCs w:val="24"/>
              </w:rPr>
              <w:t>6</w:t>
            </w:r>
            <w:r>
              <w:rPr>
                <w:rFonts w:eastAsiaTheme="minorEastAsia"/>
                <w:sz w:val="24"/>
                <w:szCs w:val="24"/>
              </w:rPr>
              <w:t>篇，其中在</w:t>
            </w:r>
            <w:r>
              <w:rPr>
                <w:rFonts w:eastAsiaTheme="minorEastAsia"/>
                <w:i/>
                <w:sz w:val="24"/>
                <w:szCs w:val="24"/>
              </w:rPr>
              <w:t>Nat. Commun., Angew. Chem. Int. Ed., J. Med. Chem., Green Chem., Chem. Commun., Eur. J. Med. Chem.</w:t>
            </w:r>
            <w:r>
              <w:rPr>
                <w:rFonts w:eastAsiaTheme="minorEastAsia"/>
                <w:sz w:val="24"/>
                <w:szCs w:val="24"/>
              </w:rPr>
              <w:t xml:space="preserve"> 等3.0以上SCI期刊共发表论文</w:t>
            </w:r>
            <w:r>
              <w:rPr>
                <w:rFonts w:hint="eastAsia" w:eastAsiaTheme="minorEastAsia"/>
                <w:sz w:val="24"/>
                <w:szCs w:val="24"/>
              </w:rPr>
              <w:t>271</w:t>
            </w:r>
            <w:r>
              <w:rPr>
                <w:rFonts w:eastAsiaTheme="minorEastAsia"/>
                <w:sz w:val="24"/>
                <w:szCs w:val="24"/>
              </w:rPr>
              <w:t>篇，包括影响因子5.0以上</w:t>
            </w:r>
            <w:r>
              <w:rPr>
                <w:rFonts w:hint="eastAsia" w:eastAsiaTheme="minorEastAsia"/>
                <w:sz w:val="24"/>
                <w:szCs w:val="24"/>
              </w:rPr>
              <w:t>92</w:t>
            </w:r>
            <w:r>
              <w:rPr>
                <w:rFonts w:eastAsiaTheme="minorEastAsia"/>
                <w:sz w:val="24"/>
                <w:szCs w:val="24"/>
              </w:rPr>
              <w:t>篇。获授权发明专利143项。获省部级科技奖励8项</w:t>
            </w:r>
            <w:r>
              <w:rPr>
                <w:rFonts w:hint="eastAsia" w:eastAsiaTheme="minorEastAsia"/>
                <w:sz w:val="24"/>
                <w:szCs w:val="24"/>
              </w:rPr>
              <w:t>，</w:t>
            </w:r>
            <w:r>
              <w:rPr>
                <w:rFonts w:eastAsiaTheme="minorEastAsia"/>
                <w:sz w:val="24"/>
                <w:szCs w:val="24"/>
              </w:rPr>
              <w:t>其中省级科学技术奖特别贡献奖</w:t>
            </w:r>
            <w:r>
              <w:rPr>
                <w:rFonts w:hint="eastAsia" w:eastAsiaTheme="minorEastAsia"/>
                <w:sz w:val="24"/>
                <w:szCs w:val="24"/>
              </w:rPr>
              <w:t>（特等奖）1项和一等奖3.5项。</w:t>
            </w:r>
            <w:r>
              <w:rPr>
                <w:rFonts w:eastAsiaTheme="minorEastAsia"/>
                <w:sz w:val="24"/>
                <w:szCs w:val="24"/>
              </w:rPr>
              <w:t>在国际学术会议做大会报告2</w:t>
            </w:r>
            <w:r>
              <w:rPr>
                <w:rFonts w:hint="eastAsia" w:eastAsiaTheme="minorEastAsia"/>
                <w:sz w:val="24"/>
                <w:szCs w:val="24"/>
              </w:rPr>
              <w:t>人</w:t>
            </w:r>
            <w:r>
              <w:rPr>
                <w:rFonts w:eastAsiaTheme="minorEastAsia"/>
                <w:sz w:val="24"/>
                <w:szCs w:val="24"/>
              </w:rPr>
              <w:t>次，特邀报告39</w:t>
            </w:r>
            <w:r>
              <w:rPr>
                <w:rFonts w:hint="eastAsia" w:eastAsiaTheme="minorEastAsia"/>
                <w:sz w:val="24"/>
                <w:szCs w:val="24"/>
              </w:rPr>
              <w:t>人次</w:t>
            </w:r>
            <w:r>
              <w:rPr>
                <w:rFonts w:eastAsiaTheme="minorEastAsia"/>
                <w:sz w:val="24"/>
                <w:szCs w:val="24"/>
              </w:rPr>
              <w:t>。</w:t>
            </w:r>
          </w:p>
          <w:p>
            <w:pPr>
              <w:adjustRightInd w:val="0"/>
              <w:snapToGrid w:val="0"/>
              <w:spacing w:line="360" w:lineRule="auto"/>
              <w:ind w:firstLine="570"/>
              <w:rPr>
                <w:rFonts w:eastAsiaTheme="minorEastAsia"/>
                <w:kern w:val="0"/>
                <w:sz w:val="24"/>
                <w:szCs w:val="24"/>
              </w:rPr>
            </w:pPr>
            <w:r>
              <w:rPr>
                <w:rFonts w:eastAsiaTheme="minorEastAsia"/>
                <w:b/>
                <w:sz w:val="24"/>
                <w:szCs w:val="24"/>
              </w:rPr>
              <w:t>在药用资源的药效物质基础与作用机制研究方向：</w:t>
            </w:r>
            <w:r>
              <w:rPr>
                <w:rFonts w:hint="eastAsia" w:eastAsiaTheme="minorEastAsia"/>
                <w:kern w:val="0"/>
                <w:sz w:val="24"/>
                <w:szCs w:val="24"/>
              </w:rPr>
              <w:t>从广豆根、鹊肾树、铜钻等30余种广西壮瑶药特色药材中分离鉴定了1000多个不同结构类型的天然产物，其中300余个为首次发现的新化合物；结合抗病毒、抗肿瘤、抗神经炎症、降糖等药理模型，发现了100余个活性天然化合物，研究了部分高活性化合物的作用机制；开发了银杏酚酸脱除、松香绿色农药增效剂等实用技术，为广西特色药用资源的开发利用提供技术支撑。</w:t>
            </w:r>
          </w:p>
          <w:p>
            <w:pPr>
              <w:adjustRightInd w:val="0"/>
              <w:snapToGrid w:val="0"/>
              <w:spacing w:line="360" w:lineRule="auto"/>
              <w:ind w:firstLine="570"/>
              <w:rPr>
                <w:rFonts w:eastAsiaTheme="minorEastAsia"/>
                <w:sz w:val="24"/>
                <w:szCs w:val="24"/>
              </w:rPr>
            </w:pPr>
            <w:r>
              <w:rPr>
                <w:rFonts w:eastAsiaTheme="minorEastAsia"/>
                <w:b/>
                <w:sz w:val="24"/>
                <w:szCs w:val="24"/>
              </w:rPr>
              <w:t>在药用资源活性先导物及其金属药物化学研究方向：</w:t>
            </w:r>
            <w:r>
              <w:rPr>
                <w:rFonts w:eastAsiaTheme="minorEastAsia"/>
                <w:sz w:val="24"/>
                <w:szCs w:val="24"/>
              </w:rPr>
              <w:t>（1）</w:t>
            </w:r>
            <w:r>
              <w:rPr>
                <w:rFonts w:hint="eastAsia" w:eastAsiaTheme="minorEastAsia"/>
                <w:sz w:val="24"/>
                <w:szCs w:val="24"/>
              </w:rPr>
              <w:t>对</w:t>
            </w:r>
            <w:r>
              <w:rPr>
                <w:rFonts w:eastAsiaTheme="minorEastAsia"/>
                <w:kern w:val="0"/>
                <w:sz w:val="24"/>
                <w:szCs w:val="24"/>
              </w:rPr>
              <w:t>天然活性化合物</w:t>
            </w:r>
            <w:r>
              <w:rPr>
                <w:rFonts w:hint="eastAsia" w:eastAsiaTheme="minorEastAsia"/>
                <w:kern w:val="0"/>
                <w:sz w:val="24"/>
                <w:szCs w:val="24"/>
              </w:rPr>
              <w:t>和</w:t>
            </w:r>
            <w:r>
              <w:rPr>
                <w:rFonts w:eastAsiaTheme="minorEastAsia"/>
                <w:kern w:val="0"/>
                <w:sz w:val="24"/>
                <w:szCs w:val="24"/>
              </w:rPr>
              <w:t>药物</w:t>
            </w:r>
            <w:r>
              <w:rPr>
                <w:rFonts w:hint="eastAsia" w:eastAsiaTheme="minorEastAsia"/>
                <w:kern w:val="0"/>
                <w:sz w:val="24"/>
                <w:szCs w:val="24"/>
              </w:rPr>
              <w:t>：</w:t>
            </w:r>
            <w:r>
              <w:rPr>
                <w:rFonts w:eastAsiaTheme="minorEastAsia"/>
                <w:kern w:val="0"/>
                <w:sz w:val="24"/>
                <w:szCs w:val="24"/>
              </w:rPr>
              <w:t>喹唑啉酮、多稠环吲哚啉、松香酸、齐墩果酸、呫吨酮、氧化异阿朴菲</w:t>
            </w:r>
            <w:r>
              <w:rPr>
                <w:rFonts w:hint="eastAsia" w:eastAsiaTheme="minorEastAsia"/>
                <w:kern w:val="0"/>
                <w:sz w:val="24"/>
                <w:szCs w:val="24"/>
              </w:rPr>
              <w:t>等的进行</w:t>
            </w:r>
            <w:r>
              <w:rPr>
                <w:rFonts w:eastAsiaTheme="minorEastAsia"/>
                <w:kern w:val="0"/>
                <w:sz w:val="24"/>
                <w:szCs w:val="24"/>
              </w:rPr>
              <w:t>结构改造、</w:t>
            </w:r>
            <w:r>
              <w:rPr>
                <w:rFonts w:hint="eastAsia" w:eastAsiaTheme="minorEastAsia"/>
                <w:kern w:val="0"/>
                <w:sz w:val="24"/>
                <w:szCs w:val="24"/>
              </w:rPr>
              <w:t>抗肿瘤和</w:t>
            </w:r>
            <w:r>
              <w:rPr>
                <w:rFonts w:eastAsiaTheme="minorEastAsia"/>
                <w:kern w:val="0"/>
                <w:sz w:val="24"/>
                <w:szCs w:val="24"/>
              </w:rPr>
              <w:t>抗阿尔茨海默病</w:t>
            </w:r>
            <w:r>
              <w:rPr>
                <w:rFonts w:hint="eastAsia" w:eastAsiaTheme="minorEastAsia"/>
                <w:kern w:val="0"/>
                <w:sz w:val="24"/>
                <w:szCs w:val="24"/>
              </w:rPr>
              <w:t>等活</w:t>
            </w:r>
            <w:r>
              <w:rPr>
                <w:rFonts w:eastAsiaTheme="minorEastAsia"/>
                <w:kern w:val="0"/>
                <w:sz w:val="24"/>
                <w:szCs w:val="24"/>
              </w:rPr>
              <w:t>性及</w:t>
            </w:r>
            <w:r>
              <w:rPr>
                <w:rFonts w:hint="eastAsia" w:eastAsiaTheme="minorEastAsia"/>
                <w:kern w:val="0"/>
                <w:sz w:val="24"/>
                <w:szCs w:val="24"/>
              </w:rPr>
              <w:t>其作用机制</w:t>
            </w:r>
            <w:r>
              <w:rPr>
                <w:rFonts w:eastAsiaTheme="minorEastAsia"/>
                <w:kern w:val="0"/>
                <w:sz w:val="24"/>
                <w:szCs w:val="24"/>
              </w:rPr>
              <w:t>研究。开发</w:t>
            </w:r>
            <w:r>
              <w:rPr>
                <w:rFonts w:hint="eastAsia" w:eastAsiaTheme="minorEastAsia"/>
                <w:kern w:val="0"/>
                <w:sz w:val="24"/>
                <w:szCs w:val="24"/>
              </w:rPr>
              <w:t>了</w:t>
            </w:r>
            <w:r>
              <w:rPr>
                <w:rFonts w:eastAsiaTheme="minorEastAsia"/>
                <w:kern w:val="0"/>
                <w:sz w:val="24"/>
                <w:szCs w:val="24"/>
              </w:rPr>
              <w:t>去氢枞酸含量高达 80％以上的高度歧化松香等手性产品。（2）</w:t>
            </w:r>
            <w:r>
              <w:rPr>
                <w:rFonts w:eastAsiaTheme="minorEastAsia"/>
                <w:sz w:val="24"/>
                <w:szCs w:val="24"/>
              </w:rPr>
              <w:t>以核酸DNA及其相关酶为靶点，</w:t>
            </w:r>
            <w:r>
              <w:rPr>
                <w:rFonts w:hint="eastAsia"/>
                <w:sz w:val="24"/>
                <w:szCs w:val="24"/>
              </w:rPr>
              <w:t>提出和实现了利用中药活性成分与金属活性中心的配位调控效应设计金属药物的思想，为金属抗肿瘤药物研究提供了新模式。</w:t>
            </w:r>
          </w:p>
          <w:p>
            <w:pPr>
              <w:adjustRightInd w:val="0"/>
              <w:snapToGrid w:val="0"/>
              <w:spacing w:line="360" w:lineRule="auto"/>
              <w:ind w:firstLine="570"/>
              <w:rPr>
                <w:rFonts w:eastAsiaTheme="minorEastAsia"/>
                <w:sz w:val="24"/>
                <w:szCs w:val="24"/>
              </w:rPr>
            </w:pPr>
            <w:r>
              <w:rPr>
                <w:rFonts w:eastAsiaTheme="minorEastAsia"/>
                <w:b/>
                <w:sz w:val="24"/>
                <w:szCs w:val="24"/>
              </w:rPr>
              <w:t>在药用资源药效物质转运系统与药物载体研究方向：（1）</w:t>
            </w:r>
            <w:r>
              <w:rPr>
                <w:rFonts w:eastAsiaTheme="minorEastAsia"/>
                <w:sz w:val="24"/>
                <w:szCs w:val="24"/>
              </w:rPr>
              <w:t>提出和实现</w:t>
            </w:r>
            <w:r>
              <w:rPr>
                <w:rFonts w:hint="eastAsia" w:eastAsiaTheme="minorEastAsia"/>
                <w:sz w:val="24"/>
                <w:szCs w:val="24"/>
              </w:rPr>
              <w:t>了</w:t>
            </w:r>
            <w:r>
              <w:rPr>
                <w:rFonts w:eastAsiaTheme="minorEastAsia"/>
                <w:sz w:val="24"/>
                <w:szCs w:val="24"/>
              </w:rPr>
              <w:t>基于人血清白蛋白结构发展药物和药物输运体系的思想，构建了若干小分子药物白蛋白输运体系，为改善小分子活性</w:t>
            </w:r>
            <w:r>
              <w:rPr>
                <w:rFonts w:hint="eastAsia" w:eastAsiaTheme="minorEastAsia"/>
                <w:sz w:val="24"/>
                <w:szCs w:val="24"/>
              </w:rPr>
              <w:t>化合物</w:t>
            </w:r>
            <w:r>
              <w:rPr>
                <w:rFonts w:eastAsiaTheme="minorEastAsia"/>
                <w:sz w:val="24"/>
                <w:szCs w:val="24"/>
              </w:rPr>
              <w:t>的成药性提供新思路。（2）创建了碳纳米材料表面功能化新方法，揭示其用于肿瘤诊疗、传感的新机制；提出功能构筑新策略，发展了近红外光响应的新型诊疗纳米材料；</w:t>
            </w:r>
            <w:r>
              <w:rPr>
                <w:rFonts w:hint="eastAsia" w:eastAsiaTheme="minorEastAsia"/>
                <w:sz w:val="24"/>
                <w:szCs w:val="24"/>
              </w:rPr>
              <w:t>为</w:t>
            </w:r>
            <w:r>
              <w:rPr>
                <w:rFonts w:eastAsiaTheme="minorEastAsia"/>
                <w:sz w:val="24"/>
                <w:szCs w:val="24"/>
              </w:rPr>
              <w:t>纳米药物载体</w:t>
            </w:r>
            <w:r>
              <w:rPr>
                <w:rFonts w:hint="eastAsia" w:eastAsiaTheme="minorEastAsia"/>
                <w:sz w:val="24"/>
                <w:szCs w:val="24"/>
              </w:rPr>
              <w:t>和</w:t>
            </w:r>
            <w:r>
              <w:rPr>
                <w:rFonts w:eastAsiaTheme="minorEastAsia"/>
                <w:sz w:val="24"/>
                <w:szCs w:val="24"/>
              </w:rPr>
              <w:t>诊疗一体化</w:t>
            </w:r>
            <w:r>
              <w:rPr>
                <w:rFonts w:hint="eastAsia" w:eastAsiaTheme="minorEastAsia"/>
                <w:sz w:val="24"/>
                <w:szCs w:val="24"/>
              </w:rPr>
              <w:t>研究提供新思路</w:t>
            </w:r>
            <w:r>
              <w:rPr>
                <w:rFonts w:eastAsiaTheme="minorEastAsia"/>
                <w:sz w:val="24"/>
                <w:szCs w:val="24"/>
              </w:rPr>
              <w:t>。（3）构建了系列碳基</w:t>
            </w:r>
            <w:r>
              <w:rPr>
                <w:rFonts w:hint="eastAsia" w:eastAsiaTheme="minorEastAsia"/>
                <w:sz w:val="24"/>
                <w:szCs w:val="24"/>
              </w:rPr>
              <w:t>和锌-有机簇</w:t>
            </w:r>
            <w:r>
              <w:rPr>
                <w:rFonts w:eastAsiaTheme="minorEastAsia"/>
                <w:sz w:val="24"/>
                <w:szCs w:val="24"/>
              </w:rPr>
              <w:t>纳米材料的新型功能纳米探针；自主研发了多功能单细胞分析仪，实现了生命过程重要分子的高灵敏检测和原位成像；为生命过程分子机制研究及疾病早期诊断提供了新方法、新技术和新设备。</w:t>
            </w:r>
          </w:p>
          <w:p>
            <w:pPr>
              <w:adjustRightInd w:val="0"/>
              <w:snapToGrid w:val="0"/>
              <w:spacing w:line="276" w:lineRule="auto"/>
              <w:ind w:firstLine="570"/>
              <w:rPr>
                <w:rFonts w:ascii="宋体" w:hAnsi="宋体"/>
                <w:b/>
                <w:sz w:val="24"/>
                <w:szCs w:val="24"/>
              </w:rPr>
            </w:pPr>
          </w:p>
        </w:tc>
      </w:tr>
    </w:tbl>
    <w:p>
      <w:pPr>
        <w:adjustRightInd w:val="0"/>
        <w:snapToGrid w:val="0"/>
        <w:ind w:firstLine="562" w:firstLineChars="200"/>
        <w:rPr>
          <w:rFonts w:eastAsia="楷体_GB2312"/>
          <w:sz w:val="28"/>
          <w:szCs w:val="24"/>
        </w:rPr>
      </w:pPr>
      <w:r>
        <w:rPr>
          <w:rFonts w:eastAsia="黑体"/>
          <w:b/>
          <w:sz w:val="28"/>
          <w:szCs w:val="24"/>
        </w:rPr>
        <w:br w:type="page"/>
      </w:r>
      <w:r>
        <w:rPr>
          <w:rFonts w:eastAsia="黑体"/>
          <w:b/>
          <w:sz w:val="28"/>
          <w:szCs w:val="24"/>
        </w:rPr>
        <w:t>代表性研究成果简介</w:t>
      </w:r>
      <w:r>
        <w:rPr>
          <w:rFonts w:eastAsia="楷体_GB2312"/>
          <w:sz w:val="28"/>
          <w:szCs w:val="24"/>
        </w:rPr>
        <w:t>（选择不超过5项成果，包括非第一完成单位的成果，每项单独填写。此表格列出的代表性成果须与简表中列出的代表性成果对应）</w:t>
      </w:r>
    </w:p>
    <w:tbl>
      <w:tblPr>
        <w:tblStyle w:val="15"/>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
      <w:tblGrid>
        <w:gridCol w:w="630"/>
        <w:gridCol w:w="2120"/>
        <w:gridCol w:w="1024"/>
        <w:gridCol w:w="1385"/>
        <w:gridCol w:w="1640"/>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cantSplit/>
          <w:trHeight w:val="570" w:hRule="atLeast"/>
          <w:jc w:val="center"/>
        </w:trPr>
        <w:tc>
          <w:tcPr>
            <w:tcW w:w="630" w:type="dxa"/>
            <w:tcBorders>
              <w:bottom w:val="single" w:color="auto" w:sz="4" w:space="0"/>
            </w:tcBorders>
            <w:vAlign w:val="center"/>
          </w:tcPr>
          <w:p>
            <w:pPr>
              <w:adjustRightInd w:val="0"/>
              <w:snapToGrid w:val="0"/>
              <w:jc w:val="center"/>
              <w:rPr>
                <w:rFonts w:eastAsia="楷体_GB2312"/>
                <w:sz w:val="24"/>
                <w:szCs w:val="24"/>
              </w:rPr>
            </w:pPr>
            <w:r>
              <w:rPr>
                <w:rFonts w:eastAsia="黑体"/>
                <w:sz w:val="24"/>
                <w:szCs w:val="24"/>
              </w:rPr>
              <w:t>序号</w:t>
            </w:r>
          </w:p>
        </w:tc>
        <w:tc>
          <w:tcPr>
            <w:tcW w:w="2120" w:type="dxa"/>
            <w:tcBorders>
              <w:bottom w:val="single" w:color="auto" w:sz="4" w:space="0"/>
            </w:tcBorders>
            <w:vAlign w:val="center"/>
          </w:tcPr>
          <w:p>
            <w:pPr>
              <w:adjustRightInd w:val="0"/>
              <w:snapToGrid w:val="0"/>
              <w:jc w:val="center"/>
              <w:rPr>
                <w:rFonts w:eastAsia="黑体"/>
                <w:sz w:val="24"/>
                <w:szCs w:val="24"/>
              </w:rPr>
            </w:pPr>
            <w:r>
              <w:rPr>
                <w:rFonts w:eastAsia="黑体"/>
                <w:sz w:val="24"/>
                <w:szCs w:val="24"/>
              </w:rPr>
              <w:t>成果名称</w:t>
            </w:r>
          </w:p>
        </w:tc>
        <w:tc>
          <w:tcPr>
            <w:tcW w:w="1024" w:type="dxa"/>
            <w:tcBorders>
              <w:bottom w:val="single" w:color="auto" w:sz="4" w:space="0"/>
            </w:tcBorders>
            <w:vAlign w:val="center"/>
          </w:tcPr>
          <w:p>
            <w:pPr>
              <w:adjustRightInd w:val="0"/>
              <w:snapToGrid w:val="0"/>
              <w:jc w:val="center"/>
              <w:rPr>
                <w:rFonts w:eastAsia="黑体"/>
                <w:sz w:val="24"/>
                <w:szCs w:val="24"/>
              </w:rPr>
            </w:pPr>
            <w:r>
              <w:rPr>
                <w:rFonts w:eastAsia="黑体"/>
                <w:sz w:val="24"/>
                <w:szCs w:val="24"/>
              </w:rPr>
              <w:t>成果形式</w:t>
            </w:r>
          </w:p>
        </w:tc>
        <w:tc>
          <w:tcPr>
            <w:tcW w:w="1385" w:type="dxa"/>
            <w:tcBorders>
              <w:bottom w:val="single" w:color="auto" w:sz="4" w:space="0"/>
            </w:tcBorders>
            <w:vAlign w:val="center"/>
          </w:tcPr>
          <w:p>
            <w:pPr>
              <w:adjustRightInd w:val="0"/>
              <w:snapToGrid w:val="0"/>
              <w:jc w:val="center"/>
              <w:rPr>
                <w:rFonts w:eastAsia="黑体"/>
                <w:sz w:val="24"/>
                <w:szCs w:val="24"/>
              </w:rPr>
            </w:pPr>
            <w:r>
              <w:rPr>
                <w:rFonts w:eastAsia="黑体"/>
                <w:sz w:val="24"/>
                <w:szCs w:val="24"/>
              </w:rPr>
              <w:t>第一完成</w:t>
            </w:r>
          </w:p>
          <w:p>
            <w:pPr>
              <w:adjustRightInd w:val="0"/>
              <w:snapToGrid w:val="0"/>
              <w:jc w:val="center"/>
              <w:rPr>
                <w:rFonts w:eastAsia="黑体"/>
                <w:sz w:val="24"/>
                <w:szCs w:val="24"/>
              </w:rPr>
            </w:pPr>
            <w:r>
              <w:rPr>
                <w:rFonts w:eastAsia="黑体"/>
                <w:sz w:val="24"/>
                <w:szCs w:val="24"/>
              </w:rPr>
              <w:t>单位</w:t>
            </w:r>
          </w:p>
        </w:tc>
        <w:tc>
          <w:tcPr>
            <w:tcW w:w="1640" w:type="dxa"/>
            <w:vAlign w:val="center"/>
          </w:tcPr>
          <w:p>
            <w:pPr>
              <w:adjustRightInd w:val="0"/>
              <w:snapToGrid w:val="0"/>
              <w:jc w:val="center"/>
              <w:rPr>
                <w:rFonts w:eastAsia="黑体"/>
                <w:sz w:val="24"/>
                <w:szCs w:val="24"/>
              </w:rPr>
            </w:pPr>
            <w:r>
              <w:rPr>
                <w:rFonts w:eastAsia="黑体"/>
                <w:sz w:val="24"/>
                <w:szCs w:val="24"/>
              </w:rPr>
              <w:t>实验室参加人员姓名(排名)</w:t>
            </w:r>
          </w:p>
        </w:tc>
        <w:tc>
          <w:tcPr>
            <w:tcW w:w="1706" w:type="dxa"/>
            <w:vAlign w:val="center"/>
          </w:tcPr>
          <w:p>
            <w:pPr>
              <w:adjustRightInd w:val="0"/>
              <w:snapToGrid w:val="0"/>
              <w:jc w:val="center"/>
              <w:rPr>
                <w:rFonts w:eastAsia="黑体"/>
                <w:sz w:val="24"/>
                <w:szCs w:val="24"/>
              </w:rPr>
            </w:pPr>
            <w:r>
              <w:rPr>
                <w:rFonts w:eastAsia="黑体"/>
                <w:sz w:val="24"/>
                <w:szCs w:val="24"/>
              </w:rPr>
              <w:t>成果产生年度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cantSplit/>
          <w:trHeight w:val="1814" w:hRule="atLeast"/>
          <w:jc w:val="center"/>
        </w:trPr>
        <w:tc>
          <w:tcPr>
            <w:tcW w:w="630" w:type="dxa"/>
            <w:tcBorders>
              <w:bottom w:val="single" w:color="auto" w:sz="4" w:space="0"/>
            </w:tcBorders>
            <w:vAlign w:val="center"/>
          </w:tcPr>
          <w:p>
            <w:pPr>
              <w:adjustRightInd w:val="0"/>
              <w:snapToGrid w:val="0"/>
              <w:jc w:val="center"/>
              <w:rPr>
                <w:sz w:val="24"/>
                <w:szCs w:val="24"/>
              </w:rPr>
            </w:pPr>
            <w:r>
              <w:rPr>
                <w:sz w:val="24"/>
                <w:szCs w:val="24"/>
              </w:rPr>
              <w:t>1</w:t>
            </w:r>
          </w:p>
        </w:tc>
        <w:tc>
          <w:tcPr>
            <w:tcW w:w="2120" w:type="dxa"/>
            <w:tcBorders>
              <w:bottom w:val="single" w:color="auto" w:sz="4" w:space="0"/>
            </w:tcBorders>
            <w:vAlign w:val="center"/>
          </w:tcPr>
          <w:p>
            <w:pPr>
              <w:jc w:val="center"/>
              <w:rPr>
                <w:sz w:val="24"/>
                <w:szCs w:val="24"/>
              </w:rPr>
            </w:pPr>
            <w:r>
              <w:rPr>
                <w:rFonts w:hint="eastAsia"/>
                <w:sz w:val="24"/>
                <w:szCs w:val="24"/>
              </w:rPr>
              <w:t>基于DNA、蛋白质靶标中药活性成分金属抗肿瘤配合物的发现和递送</w:t>
            </w:r>
          </w:p>
        </w:tc>
        <w:tc>
          <w:tcPr>
            <w:tcW w:w="1024" w:type="dxa"/>
            <w:tcBorders>
              <w:bottom w:val="single" w:color="auto" w:sz="4" w:space="0"/>
            </w:tcBorders>
            <w:vAlign w:val="center"/>
          </w:tcPr>
          <w:p>
            <w:pPr>
              <w:jc w:val="center"/>
              <w:rPr>
                <w:sz w:val="24"/>
                <w:szCs w:val="24"/>
              </w:rPr>
            </w:pPr>
            <w:r>
              <w:rPr>
                <w:rFonts w:hint="eastAsia"/>
                <w:sz w:val="24"/>
                <w:szCs w:val="24"/>
              </w:rPr>
              <w:t>论文和专利</w:t>
            </w:r>
          </w:p>
        </w:tc>
        <w:tc>
          <w:tcPr>
            <w:tcW w:w="1385" w:type="dxa"/>
            <w:tcBorders>
              <w:bottom w:val="single" w:color="auto" w:sz="4" w:space="0"/>
            </w:tcBorders>
            <w:vAlign w:val="center"/>
          </w:tcPr>
          <w:p>
            <w:pPr>
              <w:ind w:right="97" w:rightChars="46"/>
              <w:jc w:val="center"/>
              <w:rPr>
                <w:sz w:val="24"/>
                <w:szCs w:val="24"/>
              </w:rPr>
            </w:pPr>
            <w:r>
              <w:rPr>
                <w:rFonts w:hint="eastAsia"/>
                <w:sz w:val="24"/>
                <w:szCs w:val="24"/>
              </w:rPr>
              <w:t>广西师范大学</w:t>
            </w:r>
          </w:p>
        </w:tc>
        <w:tc>
          <w:tcPr>
            <w:tcW w:w="1640" w:type="dxa"/>
            <w:tcBorders>
              <w:bottom w:val="single" w:color="auto" w:sz="4" w:space="0"/>
            </w:tcBorders>
            <w:vAlign w:val="center"/>
          </w:tcPr>
          <w:p>
            <w:pPr>
              <w:ind w:right="36" w:rightChars="17"/>
              <w:jc w:val="center"/>
              <w:rPr>
                <w:sz w:val="24"/>
                <w:szCs w:val="24"/>
              </w:rPr>
            </w:pPr>
            <w:r>
              <w:rPr>
                <w:rFonts w:hint="eastAsia"/>
                <w:sz w:val="24"/>
                <w:szCs w:val="24"/>
              </w:rPr>
              <w:t>梁宏(1)、陈振锋(2)、杨峰(3)、刘延成(4)、黄克斌(5)</w:t>
            </w:r>
          </w:p>
        </w:tc>
        <w:tc>
          <w:tcPr>
            <w:tcW w:w="1706" w:type="dxa"/>
            <w:tcBorders>
              <w:bottom w:val="single" w:color="auto" w:sz="4" w:space="0"/>
            </w:tcBorders>
            <w:vAlign w:val="center"/>
          </w:tcPr>
          <w:p>
            <w:pPr>
              <w:jc w:val="center"/>
              <w:rPr>
                <w:sz w:val="24"/>
                <w:szCs w:val="24"/>
              </w:rPr>
            </w:pPr>
            <w:r>
              <w:rPr>
                <w:rFonts w:hint="eastAsia"/>
                <w:sz w:val="24"/>
                <w:szCs w:val="24"/>
              </w:rPr>
              <w:t>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1794" w:hRule="atLeast"/>
          <w:jc w:val="center"/>
        </w:trPr>
        <w:tc>
          <w:tcPr>
            <w:tcW w:w="8505" w:type="dxa"/>
            <w:gridSpan w:val="6"/>
          </w:tcPr>
          <w:p>
            <w:pPr>
              <w:adjustRightInd w:val="0"/>
              <w:snapToGrid w:val="0"/>
              <w:spacing w:before="156" w:beforeLines="50"/>
              <w:ind w:firstLine="480" w:firstLineChars="200"/>
              <w:rPr>
                <w:rFonts w:eastAsia="楷体_GB2312"/>
                <w:sz w:val="24"/>
                <w:szCs w:val="24"/>
              </w:rPr>
            </w:pPr>
            <w:r>
              <w:rPr>
                <w:rFonts w:eastAsia="楷体_GB2312"/>
                <w:sz w:val="24"/>
                <w:szCs w:val="24"/>
              </w:rPr>
              <w:t>简要介绍代表性研究成果的主要内容、实验室人员在其中的主要创新贡献以及成果的国内外学术影响。（600字以内）</w:t>
            </w:r>
          </w:p>
          <w:p>
            <w:pPr>
              <w:spacing w:line="360" w:lineRule="auto"/>
              <w:ind w:firstLine="480" w:firstLineChars="200"/>
            </w:pPr>
            <w:r>
              <w:rPr>
                <w:rFonts w:hint="eastAsia"/>
                <w:sz w:val="24"/>
                <w:szCs w:val="24"/>
              </w:rPr>
              <w:t>该成果针对DNA、蛋白质为靶点的中药活性成分金属抗肿瘤配合物的发现及其递送的关键科学问题，通过引入中药活性成分配体和构建白蛋白载运体系，开展多学科交叉研究。包括：（1）揭示了血影斑蛋白-ACF7的结构与功能。（2）针对</w:t>
            </w:r>
            <w:r>
              <w:rPr>
                <w:sz w:val="24"/>
                <w:szCs w:val="24"/>
              </w:rPr>
              <w:t>DNA</w:t>
            </w:r>
            <w:r>
              <w:rPr>
                <w:rFonts w:hint="eastAsia"/>
                <w:sz w:val="24"/>
                <w:szCs w:val="24"/>
              </w:rPr>
              <w:t>、</w:t>
            </w:r>
            <w:r>
              <w:rPr>
                <w:sz w:val="24"/>
                <w:szCs w:val="24"/>
              </w:rPr>
              <w:t xml:space="preserve">G4-DNA </w:t>
            </w:r>
            <w:r>
              <w:rPr>
                <w:rFonts w:hint="eastAsia"/>
                <w:sz w:val="24"/>
                <w:szCs w:val="24"/>
              </w:rPr>
              <w:t>、端粒酶，设计合成了系列中药活性成分氧化异阿朴菲、氧化阿朴菲、双卤代</w:t>
            </w:r>
            <w:r>
              <w:rPr>
                <w:sz w:val="24"/>
                <w:szCs w:val="24"/>
              </w:rPr>
              <w:t>-8-</w:t>
            </w:r>
            <w:r>
              <w:rPr>
                <w:rFonts w:hint="eastAsia"/>
                <w:sz w:val="24"/>
                <w:szCs w:val="24"/>
              </w:rPr>
              <w:t>羟基喹啉、异喹啉衍生物等抗肿瘤金属配合物。发现这些化合物存在正协同效应，具有多靶点、多通路和多重作用机制的特点，可以通过配体和金属中心的调控来获得高效低毒的先导化合物，为克服金属抗癌药的耐药性提供可能性，获得5个先导化合物。（3）</w:t>
            </w:r>
            <w:r>
              <w:rPr>
                <w:rFonts w:hint="eastAsia"/>
                <w:bCs/>
                <w:sz w:val="24"/>
                <w:szCs w:val="24"/>
              </w:rPr>
              <w:t>基于人血清白蛋白IIA亚域Lys199和His242设计金属前药，获得3个铜配合物前药；研究了人血清白蛋白-小分子药物复合物结构和功能；构建了多药物、多靶点人血清白蛋白载运体系。</w:t>
            </w:r>
          </w:p>
          <w:p>
            <w:pPr>
              <w:spacing w:line="360" w:lineRule="auto"/>
              <w:ind w:firstLine="480" w:firstLineChars="200"/>
              <w:rPr>
                <w:sz w:val="24"/>
                <w:szCs w:val="24"/>
              </w:rPr>
            </w:pPr>
            <w:r>
              <w:rPr>
                <w:rFonts w:hint="eastAsia"/>
                <w:sz w:val="24"/>
                <w:szCs w:val="24"/>
              </w:rPr>
              <w:t>该成果</w:t>
            </w:r>
            <w:r>
              <w:rPr>
                <w:sz w:val="24"/>
                <w:szCs w:val="24"/>
              </w:rPr>
              <w:t>在</w:t>
            </w:r>
            <w:r>
              <w:rPr>
                <w:rFonts w:hint="eastAsia"/>
                <w:i/>
                <w:sz w:val="24"/>
                <w:szCs w:val="24"/>
              </w:rPr>
              <w:t>Nat. Commun.</w:t>
            </w:r>
            <w:r>
              <w:rPr>
                <w:rFonts w:hint="eastAsia"/>
                <w:sz w:val="24"/>
                <w:szCs w:val="24"/>
              </w:rPr>
              <w:t xml:space="preserve">, </w:t>
            </w:r>
            <w:r>
              <w:rPr>
                <w:i/>
                <w:sz w:val="24"/>
                <w:szCs w:val="24"/>
              </w:rPr>
              <w:t>J. Med. Chem.</w:t>
            </w:r>
            <w:r>
              <w:rPr>
                <w:sz w:val="24"/>
                <w:szCs w:val="24"/>
              </w:rPr>
              <w:t xml:space="preserve">, </w:t>
            </w:r>
            <w:r>
              <w:rPr>
                <w:i/>
                <w:sz w:val="24"/>
                <w:szCs w:val="24"/>
              </w:rPr>
              <w:t>Mol. Pharm.</w:t>
            </w:r>
            <w:r>
              <w:rPr>
                <w:sz w:val="24"/>
                <w:szCs w:val="24"/>
              </w:rPr>
              <w:t xml:space="preserve">, </w:t>
            </w:r>
            <w:r>
              <w:rPr>
                <w:i/>
                <w:sz w:val="24"/>
                <w:szCs w:val="24"/>
              </w:rPr>
              <w:t>Eur. J. Med. Chem</w:t>
            </w:r>
            <w:r>
              <w:rPr>
                <w:rFonts w:hint="eastAsia"/>
                <w:i/>
                <w:sz w:val="24"/>
                <w:szCs w:val="24"/>
              </w:rPr>
              <w:t>.</w:t>
            </w:r>
            <w:r>
              <w:rPr>
                <w:sz w:val="24"/>
                <w:szCs w:val="24"/>
              </w:rPr>
              <w:t>等国际著名刊物发表</w:t>
            </w:r>
            <w:r>
              <w:rPr>
                <w:rFonts w:hint="eastAsia"/>
                <w:sz w:val="24"/>
                <w:szCs w:val="24"/>
              </w:rPr>
              <w:t>SCI</w:t>
            </w:r>
            <w:r>
              <w:rPr>
                <w:sz w:val="24"/>
                <w:szCs w:val="24"/>
              </w:rPr>
              <w:t>论文</w:t>
            </w:r>
            <w:r>
              <w:rPr>
                <w:rFonts w:hint="eastAsia"/>
                <w:sz w:val="24"/>
                <w:szCs w:val="24"/>
              </w:rPr>
              <w:t>60余</w:t>
            </w:r>
            <w:r>
              <w:rPr>
                <w:sz w:val="24"/>
                <w:szCs w:val="24"/>
              </w:rPr>
              <w:t>篇，</w:t>
            </w:r>
            <w:r>
              <w:rPr>
                <w:rFonts w:hint="eastAsia"/>
                <w:sz w:val="24"/>
                <w:szCs w:val="24"/>
              </w:rPr>
              <w:t>或授权发明专利25项。提出和实现了利用中药活性成分与金属活性中心配位调控效应设计金属药物的思想，为金属抗肿瘤药物研究提供了具有中国特色的新模式；提出和实现了基于血清白蛋白特定氨基酸设计抗肿瘤金属前药设计思想，为提高金属抗肿瘤药物的靶向性和成药性提供新思路</w:t>
            </w:r>
            <w:r>
              <w:rPr>
                <w:sz w:val="24"/>
                <w:szCs w:val="24"/>
              </w:rPr>
              <w:t>。</w:t>
            </w:r>
          </w:p>
          <w:p>
            <w:pPr>
              <w:spacing w:line="360" w:lineRule="auto"/>
              <w:ind w:firstLine="480" w:firstLineChars="200"/>
              <w:rPr>
                <w:rFonts w:eastAsia="楷体_GB2312"/>
                <w:sz w:val="24"/>
                <w:szCs w:val="24"/>
              </w:rPr>
            </w:pPr>
            <w:r>
              <w:rPr>
                <w:rFonts w:hint="eastAsia"/>
                <w:sz w:val="24"/>
                <w:szCs w:val="24"/>
              </w:rPr>
              <w:t>该成果结合广西中药资源优势，服务国家中药国际化战略，为攻克疑难高发癌症提供研究基础，</w:t>
            </w:r>
            <w:r>
              <w:rPr>
                <w:rFonts w:hint="eastAsia"/>
                <w:bCs/>
                <w:sz w:val="24"/>
                <w:szCs w:val="24"/>
              </w:rPr>
              <w:t>拓展和引领</w:t>
            </w:r>
            <w:r>
              <w:rPr>
                <w:rFonts w:hint="eastAsia"/>
                <w:sz w:val="24"/>
                <w:szCs w:val="24"/>
              </w:rPr>
              <w:t>了国际天然活性化合物金属药物化学和蛋白质生物无机化学相关领域的研究创新，部分成果获2017年度广西科学技术奖特别贡献奖（特等奖）。</w:t>
            </w:r>
          </w:p>
        </w:tc>
      </w:tr>
    </w:tbl>
    <w:p>
      <w:pPr>
        <w:adjustRightInd w:val="0"/>
        <w:snapToGrid w:val="0"/>
        <w:ind w:firstLine="420" w:firstLineChars="200"/>
        <w:rPr>
          <w:rFonts w:eastAsia="楷体_GB2312"/>
          <w:szCs w:val="24"/>
        </w:rPr>
      </w:pPr>
    </w:p>
    <w:tbl>
      <w:tblPr>
        <w:tblStyle w:val="15"/>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
      <w:tblGrid>
        <w:gridCol w:w="600"/>
        <w:gridCol w:w="1627"/>
        <w:gridCol w:w="992"/>
        <w:gridCol w:w="992"/>
        <w:gridCol w:w="2835"/>
        <w:gridCol w:w="1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cantSplit/>
          <w:trHeight w:val="570" w:hRule="atLeast"/>
          <w:jc w:val="center"/>
        </w:trPr>
        <w:tc>
          <w:tcPr>
            <w:tcW w:w="600" w:type="dxa"/>
            <w:tcBorders>
              <w:bottom w:val="single" w:color="auto" w:sz="4" w:space="0"/>
            </w:tcBorders>
            <w:shd w:val="clear" w:color="auto" w:fill="auto"/>
            <w:vAlign w:val="center"/>
          </w:tcPr>
          <w:p>
            <w:pPr>
              <w:adjustRightInd w:val="0"/>
              <w:snapToGrid w:val="0"/>
              <w:jc w:val="center"/>
              <w:rPr>
                <w:rFonts w:eastAsia="楷体_GB2312"/>
                <w:sz w:val="24"/>
                <w:szCs w:val="24"/>
              </w:rPr>
            </w:pPr>
            <w:r>
              <w:rPr>
                <w:rFonts w:eastAsia="黑体"/>
                <w:sz w:val="24"/>
                <w:szCs w:val="24"/>
              </w:rPr>
              <w:t>序号</w:t>
            </w:r>
          </w:p>
        </w:tc>
        <w:tc>
          <w:tcPr>
            <w:tcW w:w="1627" w:type="dxa"/>
            <w:tcBorders>
              <w:bottom w:val="single" w:color="auto" w:sz="4" w:space="0"/>
            </w:tcBorders>
            <w:shd w:val="clear" w:color="auto" w:fill="auto"/>
            <w:vAlign w:val="center"/>
          </w:tcPr>
          <w:p>
            <w:pPr>
              <w:adjustRightInd w:val="0"/>
              <w:snapToGrid w:val="0"/>
              <w:jc w:val="center"/>
              <w:rPr>
                <w:rFonts w:eastAsia="黑体"/>
                <w:sz w:val="24"/>
                <w:szCs w:val="24"/>
              </w:rPr>
            </w:pPr>
            <w:r>
              <w:rPr>
                <w:rFonts w:eastAsia="黑体"/>
                <w:sz w:val="24"/>
                <w:szCs w:val="24"/>
              </w:rPr>
              <w:t>成果名称</w:t>
            </w:r>
          </w:p>
        </w:tc>
        <w:tc>
          <w:tcPr>
            <w:tcW w:w="992" w:type="dxa"/>
            <w:tcBorders>
              <w:bottom w:val="single" w:color="auto" w:sz="4" w:space="0"/>
            </w:tcBorders>
            <w:shd w:val="clear" w:color="auto" w:fill="auto"/>
            <w:vAlign w:val="center"/>
          </w:tcPr>
          <w:p>
            <w:pPr>
              <w:adjustRightInd w:val="0"/>
              <w:snapToGrid w:val="0"/>
              <w:jc w:val="center"/>
              <w:rPr>
                <w:rFonts w:eastAsia="黑体"/>
                <w:sz w:val="24"/>
                <w:szCs w:val="24"/>
              </w:rPr>
            </w:pPr>
            <w:r>
              <w:rPr>
                <w:rFonts w:eastAsia="黑体"/>
                <w:sz w:val="24"/>
                <w:szCs w:val="24"/>
              </w:rPr>
              <w:t>成果形式</w:t>
            </w:r>
          </w:p>
        </w:tc>
        <w:tc>
          <w:tcPr>
            <w:tcW w:w="992" w:type="dxa"/>
            <w:tcBorders>
              <w:bottom w:val="single" w:color="auto" w:sz="4" w:space="0"/>
            </w:tcBorders>
            <w:shd w:val="clear" w:color="auto" w:fill="auto"/>
            <w:vAlign w:val="center"/>
          </w:tcPr>
          <w:p>
            <w:pPr>
              <w:adjustRightInd w:val="0"/>
              <w:snapToGrid w:val="0"/>
              <w:jc w:val="center"/>
              <w:rPr>
                <w:rFonts w:eastAsia="黑体"/>
                <w:sz w:val="24"/>
                <w:szCs w:val="24"/>
              </w:rPr>
            </w:pPr>
            <w:r>
              <w:rPr>
                <w:rFonts w:eastAsia="黑体"/>
                <w:sz w:val="24"/>
                <w:szCs w:val="24"/>
              </w:rPr>
              <w:t>第一完成</w:t>
            </w:r>
          </w:p>
          <w:p>
            <w:pPr>
              <w:adjustRightInd w:val="0"/>
              <w:snapToGrid w:val="0"/>
              <w:jc w:val="center"/>
              <w:rPr>
                <w:rFonts w:eastAsia="黑体"/>
                <w:sz w:val="24"/>
                <w:szCs w:val="24"/>
              </w:rPr>
            </w:pPr>
            <w:r>
              <w:rPr>
                <w:rFonts w:eastAsia="黑体"/>
                <w:sz w:val="24"/>
                <w:szCs w:val="24"/>
              </w:rPr>
              <w:t>单位</w:t>
            </w:r>
          </w:p>
        </w:tc>
        <w:tc>
          <w:tcPr>
            <w:tcW w:w="2835" w:type="dxa"/>
            <w:shd w:val="clear" w:color="auto" w:fill="auto"/>
            <w:vAlign w:val="center"/>
          </w:tcPr>
          <w:p>
            <w:pPr>
              <w:adjustRightInd w:val="0"/>
              <w:snapToGrid w:val="0"/>
              <w:jc w:val="center"/>
              <w:rPr>
                <w:rFonts w:eastAsia="黑体"/>
                <w:sz w:val="24"/>
                <w:szCs w:val="24"/>
              </w:rPr>
            </w:pPr>
            <w:r>
              <w:rPr>
                <w:rFonts w:eastAsia="黑体"/>
                <w:sz w:val="24"/>
                <w:szCs w:val="24"/>
              </w:rPr>
              <w:t>实验室参加人员姓名(排名)</w:t>
            </w:r>
          </w:p>
        </w:tc>
        <w:tc>
          <w:tcPr>
            <w:tcW w:w="1459" w:type="dxa"/>
            <w:shd w:val="clear" w:color="auto" w:fill="auto"/>
            <w:vAlign w:val="center"/>
          </w:tcPr>
          <w:p>
            <w:pPr>
              <w:adjustRightInd w:val="0"/>
              <w:snapToGrid w:val="0"/>
              <w:jc w:val="center"/>
              <w:rPr>
                <w:rFonts w:eastAsia="黑体"/>
                <w:sz w:val="24"/>
                <w:szCs w:val="24"/>
              </w:rPr>
            </w:pPr>
            <w:r>
              <w:rPr>
                <w:rFonts w:eastAsia="黑体"/>
                <w:sz w:val="24"/>
                <w:szCs w:val="24"/>
              </w:rPr>
              <w:t>成果产生年度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cantSplit/>
          <w:trHeight w:val="570" w:hRule="atLeast"/>
          <w:jc w:val="center"/>
        </w:trPr>
        <w:tc>
          <w:tcPr>
            <w:tcW w:w="600" w:type="dxa"/>
            <w:tcBorders>
              <w:bottom w:val="single" w:color="auto" w:sz="4" w:space="0"/>
            </w:tcBorders>
            <w:shd w:val="clear" w:color="auto" w:fill="auto"/>
            <w:vAlign w:val="center"/>
          </w:tcPr>
          <w:p>
            <w:pPr>
              <w:adjustRightInd w:val="0"/>
              <w:snapToGrid w:val="0"/>
              <w:jc w:val="center"/>
              <w:rPr>
                <w:sz w:val="24"/>
                <w:szCs w:val="24"/>
              </w:rPr>
            </w:pPr>
            <w:r>
              <w:rPr>
                <w:rFonts w:hint="eastAsia"/>
                <w:sz w:val="24"/>
                <w:szCs w:val="24"/>
              </w:rPr>
              <w:t>2</w:t>
            </w:r>
          </w:p>
        </w:tc>
        <w:tc>
          <w:tcPr>
            <w:tcW w:w="1627" w:type="dxa"/>
            <w:tcBorders>
              <w:bottom w:val="single" w:color="auto" w:sz="4" w:space="0"/>
            </w:tcBorders>
            <w:shd w:val="clear" w:color="auto" w:fill="auto"/>
            <w:vAlign w:val="center"/>
          </w:tcPr>
          <w:p>
            <w:pPr>
              <w:adjustRightInd w:val="0"/>
              <w:snapToGrid w:val="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广西特色药用植物活性成分研究及绿色开发</w:t>
            </w:r>
          </w:p>
        </w:tc>
        <w:tc>
          <w:tcPr>
            <w:tcW w:w="992" w:type="dxa"/>
            <w:tcBorders>
              <w:bottom w:val="single" w:color="auto" w:sz="4" w:space="0"/>
            </w:tcBorders>
            <w:shd w:val="clear" w:color="auto" w:fill="auto"/>
            <w:vAlign w:val="center"/>
          </w:tcPr>
          <w:p>
            <w:pPr>
              <w:adjustRightInd w:val="0"/>
              <w:snapToGrid w:val="0"/>
              <w:jc w:val="center"/>
              <w:rPr>
                <w:rFonts w:asciiTheme="minorEastAsia" w:hAnsiTheme="minorEastAsia" w:eastAsiaTheme="minorEastAsia"/>
                <w:sz w:val="24"/>
                <w:szCs w:val="24"/>
              </w:rPr>
            </w:pPr>
            <w:r>
              <w:rPr>
                <w:rFonts w:asciiTheme="minorEastAsia" w:hAnsiTheme="minorEastAsia" w:eastAsiaTheme="minorEastAsia"/>
                <w:sz w:val="24"/>
                <w:szCs w:val="24"/>
              </w:rPr>
              <w:t>论文</w:t>
            </w:r>
            <w:r>
              <w:rPr>
                <w:rFonts w:hint="eastAsia" w:asciiTheme="minorEastAsia" w:hAnsiTheme="minorEastAsia" w:eastAsiaTheme="minorEastAsia"/>
                <w:sz w:val="24"/>
                <w:szCs w:val="24"/>
              </w:rPr>
              <w:t>和</w:t>
            </w:r>
            <w:r>
              <w:rPr>
                <w:rFonts w:asciiTheme="minorEastAsia" w:hAnsiTheme="minorEastAsia" w:eastAsiaTheme="minorEastAsia"/>
                <w:sz w:val="24"/>
                <w:szCs w:val="24"/>
              </w:rPr>
              <w:t>专利</w:t>
            </w:r>
          </w:p>
        </w:tc>
        <w:tc>
          <w:tcPr>
            <w:tcW w:w="992" w:type="dxa"/>
            <w:tcBorders>
              <w:bottom w:val="single" w:color="auto" w:sz="4" w:space="0"/>
            </w:tcBorders>
            <w:shd w:val="clear" w:color="auto" w:fill="auto"/>
            <w:vAlign w:val="center"/>
          </w:tcPr>
          <w:p>
            <w:pPr>
              <w:adjustRightInd w:val="0"/>
              <w:snapToGrid w:val="0"/>
              <w:jc w:val="center"/>
              <w:rPr>
                <w:rFonts w:asciiTheme="minorEastAsia" w:hAnsiTheme="minorEastAsia" w:eastAsiaTheme="minorEastAsia"/>
                <w:sz w:val="24"/>
                <w:szCs w:val="24"/>
              </w:rPr>
            </w:pPr>
            <w:r>
              <w:rPr>
                <w:rFonts w:asciiTheme="minorEastAsia" w:hAnsiTheme="minorEastAsia" w:eastAsiaTheme="minorEastAsia"/>
                <w:sz w:val="24"/>
                <w:szCs w:val="24"/>
              </w:rPr>
              <w:t>广西师范大学</w:t>
            </w:r>
          </w:p>
        </w:tc>
        <w:tc>
          <w:tcPr>
            <w:tcW w:w="2835" w:type="dxa"/>
            <w:tcBorders>
              <w:bottom w:val="single" w:color="auto" w:sz="4" w:space="0"/>
            </w:tcBorders>
            <w:shd w:val="clear" w:color="auto" w:fill="auto"/>
            <w:vAlign w:val="center"/>
          </w:tcPr>
          <w:p>
            <w:pPr>
              <w:adjustRightInd w:val="0"/>
              <w:snapToGrid w:val="0"/>
              <w:jc w:val="center"/>
              <w:rPr>
                <w:rFonts w:asciiTheme="minorEastAsia" w:hAnsiTheme="minorEastAsia" w:eastAsiaTheme="minorEastAsia"/>
                <w:sz w:val="24"/>
                <w:szCs w:val="24"/>
              </w:rPr>
            </w:pPr>
            <w:r>
              <w:rPr>
                <w:rFonts w:asciiTheme="minorEastAsia" w:hAnsiTheme="minorEastAsia" w:eastAsiaTheme="minorEastAsia"/>
                <w:sz w:val="24"/>
                <w:szCs w:val="24"/>
              </w:rPr>
              <w:t>苏桂发</w:t>
            </w:r>
            <w:r>
              <w:rPr>
                <w:rFonts w:hint="eastAsia"/>
                <w:sz w:val="24"/>
                <w:szCs w:val="24"/>
              </w:rPr>
              <w:t>(</w:t>
            </w:r>
            <w:r>
              <w:rPr>
                <w:rFonts w:hint="eastAsia" w:asciiTheme="minorEastAsia" w:hAnsiTheme="minorEastAsia" w:eastAsiaTheme="minorEastAsia"/>
                <w:sz w:val="24"/>
                <w:szCs w:val="24"/>
              </w:rPr>
              <w:t>1</w:t>
            </w:r>
            <w:r>
              <w:rPr>
                <w:rFonts w:hint="eastAsia"/>
                <w:sz w:val="24"/>
                <w:szCs w:val="24"/>
              </w:rPr>
              <w:t>)</w:t>
            </w:r>
            <w:r>
              <w:rPr>
                <w:rFonts w:hint="eastAsia" w:asciiTheme="minorEastAsia" w:hAnsiTheme="minorEastAsia" w:eastAsiaTheme="minorEastAsia"/>
                <w:sz w:val="24"/>
                <w:szCs w:val="24"/>
              </w:rPr>
              <w:t>、王恒山</w:t>
            </w:r>
            <w:r>
              <w:rPr>
                <w:rFonts w:hint="eastAsia"/>
                <w:sz w:val="24"/>
                <w:szCs w:val="24"/>
              </w:rPr>
              <w:t>(</w:t>
            </w:r>
            <w:r>
              <w:rPr>
                <w:rFonts w:hint="eastAsia" w:asciiTheme="minorEastAsia" w:hAnsiTheme="minorEastAsia" w:eastAsiaTheme="minorEastAsia"/>
                <w:sz w:val="24"/>
                <w:szCs w:val="24"/>
              </w:rPr>
              <w:t>2</w:t>
            </w:r>
            <w:r>
              <w:rPr>
                <w:rFonts w:hint="eastAsia"/>
                <w:sz w:val="24"/>
                <w:szCs w:val="24"/>
              </w:rPr>
              <w:t>)</w:t>
            </w:r>
            <w:r>
              <w:rPr>
                <w:rFonts w:hint="eastAsia" w:asciiTheme="minorEastAsia" w:hAnsiTheme="minorEastAsia" w:eastAsiaTheme="minorEastAsia"/>
                <w:sz w:val="24"/>
                <w:szCs w:val="24"/>
              </w:rPr>
              <w:t>、</w:t>
            </w:r>
            <w:r>
              <w:rPr>
                <w:rFonts w:asciiTheme="minorEastAsia" w:hAnsiTheme="minorEastAsia" w:eastAsiaTheme="minorEastAsia"/>
                <w:sz w:val="24"/>
                <w:szCs w:val="24"/>
              </w:rPr>
              <w:t>李俊</w:t>
            </w:r>
            <w:r>
              <w:rPr>
                <w:rFonts w:hint="eastAsia"/>
                <w:sz w:val="24"/>
                <w:szCs w:val="24"/>
              </w:rPr>
              <w:t>(</w:t>
            </w:r>
            <w:r>
              <w:rPr>
                <w:rFonts w:hint="eastAsia" w:asciiTheme="minorEastAsia" w:hAnsiTheme="minorEastAsia" w:eastAsiaTheme="minorEastAsia"/>
                <w:sz w:val="24"/>
                <w:szCs w:val="24"/>
              </w:rPr>
              <w:t>3</w:t>
            </w:r>
            <w:r>
              <w:rPr>
                <w:rFonts w:hint="eastAsia"/>
                <w:sz w:val="24"/>
                <w:szCs w:val="24"/>
              </w:rPr>
              <w:t>)</w:t>
            </w:r>
            <w:r>
              <w:rPr>
                <w:rFonts w:hint="eastAsia" w:asciiTheme="minorEastAsia" w:hAnsiTheme="minorEastAsia" w:eastAsiaTheme="minorEastAsia"/>
                <w:sz w:val="24"/>
                <w:szCs w:val="24"/>
              </w:rPr>
              <w:t>、潘英明</w:t>
            </w:r>
            <w:r>
              <w:rPr>
                <w:rFonts w:hint="eastAsia"/>
                <w:sz w:val="24"/>
                <w:szCs w:val="24"/>
              </w:rPr>
              <w:t>(</w:t>
            </w:r>
            <w:r>
              <w:rPr>
                <w:rFonts w:hint="eastAsia" w:asciiTheme="minorEastAsia" w:hAnsiTheme="minorEastAsia" w:eastAsiaTheme="minorEastAsia"/>
                <w:sz w:val="24"/>
                <w:szCs w:val="24"/>
              </w:rPr>
              <w:t>4</w:t>
            </w:r>
            <w:r>
              <w:rPr>
                <w:rFonts w:hint="eastAsia"/>
                <w:sz w:val="24"/>
                <w:szCs w:val="24"/>
              </w:rPr>
              <w:t>)</w:t>
            </w:r>
            <w:r>
              <w:rPr>
                <w:rFonts w:hint="eastAsia" w:asciiTheme="minorEastAsia" w:hAnsiTheme="minorEastAsia" w:eastAsiaTheme="minorEastAsia"/>
                <w:sz w:val="24"/>
                <w:szCs w:val="24"/>
              </w:rPr>
              <w:t>、</w:t>
            </w:r>
            <w:r>
              <w:rPr>
                <w:rFonts w:asciiTheme="minorEastAsia" w:hAnsiTheme="minorEastAsia" w:eastAsiaTheme="minorEastAsia"/>
                <w:sz w:val="24"/>
                <w:szCs w:val="24"/>
              </w:rPr>
              <w:t>梁东</w:t>
            </w:r>
            <w:r>
              <w:rPr>
                <w:rFonts w:hint="eastAsia"/>
                <w:sz w:val="24"/>
                <w:szCs w:val="24"/>
              </w:rPr>
              <w:t>(</w:t>
            </w:r>
            <w:r>
              <w:rPr>
                <w:rFonts w:hint="eastAsia" w:asciiTheme="minorEastAsia" w:hAnsiTheme="minorEastAsia" w:eastAsiaTheme="minorEastAsia"/>
                <w:sz w:val="24"/>
                <w:szCs w:val="24"/>
              </w:rPr>
              <w:t>5</w:t>
            </w:r>
            <w:r>
              <w:rPr>
                <w:rFonts w:hint="eastAsia"/>
                <w:sz w:val="24"/>
                <w:szCs w:val="24"/>
              </w:rPr>
              <w:t>)</w:t>
            </w:r>
            <w:r>
              <w:rPr>
                <w:rFonts w:hint="eastAsia" w:asciiTheme="minorEastAsia" w:hAnsiTheme="minorEastAsia" w:eastAsiaTheme="minorEastAsia"/>
                <w:sz w:val="24"/>
                <w:szCs w:val="24"/>
              </w:rPr>
              <w:t>、</w:t>
            </w:r>
            <w:r>
              <w:rPr>
                <w:rFonts w:hint="eastAsia"/>
                <w:sz w:val="24"/>
                <w:szCs w:val="24"/>
              </w:rPr>
              <w:t>莫冬亮(6)、</w:t>
            </w:r>
            <w:r>
              <w:rPr>
                <w:rFonts w:hint="eastAsia" w:asciiTheme="minorEastAsia" w:hAnsiTheme="minorEastAsia" w:eastAsiaTheme="minorEastAsia"/>
                <w:sz w:val="24"/>
                <w:szCs w:val="24"/>
              </w:rPr>
              <w:t>覃江克</w:t>
            </w:r>
            <w:r>
              <w:rPr>
                <w:rFonts w:hint="eastAsia"/>
                <w:sz w:val="24"/>
                <w:szCs w:val="24"/>
              </w:rPr>
              <w:t>(</w:t>
            </w:r>
            <w:r>
              <w:rPr>
                <w:rFonts w:hint="eastAsia" w:asciiTheme="minorEastAsia" w:hAnsiTheme="minorEastAsia" w:eastAsiaTheme="minorEastAsia"/>
                <w:sz w:val="24"/>
                <w:szCs w:val="24"/>
              </w:rPr>
              <w:t>7</w:t>
            </w:r>
            <w:r>
              <w:rPr>
                <w:rFonts w:hint="eastAsia"/>
                <w:sz w:val="24"/>
                <w:szCs w:val="24"/>
              </w:rPr>
              <w:t>)</w:t>
            </w:r>
            <w:r>
              <w:rPr>
                <w:rFonts w:hint="eastAsia" w:asciiTheme="minorEastAsia" w:hAnsiTheme="minorEastAsia" w:eastAsiaTheme="minorEastAsia"/>
                <w:sz w:val="24"/>
                <w:szCs w:val="24"/>
              </w:rPr>
              <w:t>、</w:t>
            </w:r>
            <w:r>
              <w:rPr>
                <w:rFonts w:hint="eastAsia"/>
                <w:sz w:val="24"/>
                <w:szCs w:val="24"/>
              </w:rPr>
              <w:t>程克光(8)、潘成学(9)、陈家念(10)、唐煌(11)、彭艳(12)、杨</w:t>
            </w:r>
            <w:r>
              <w:rPr>
                <w:rFonts w:asciiTheme="minorEastAsia" w:hAnsiTheme="minorEastAsia" w:eastAsiaTheme="minorEastAsia"/>
                <w:sz w:val="24"/>
                <w:szCs w:val="24"/>
              </w:rPr>
              <w:t>瑞云</w:t>
            </w:r>
            <w:r>
              <w:rPr>
                <w:rFonts w:hint="eastAsia"/>
                <w:sz w:val="24"/>
                <w:szCs w:val="24"/>
              </w:rPr>
              <w:t>(</w:t>
            </w:r>
            <w:r>
              <w:rPr>
                <w:rFonts w:hint="eastAsia" w:asciiTheme="minorEastAsia" w:hAnsiTheme="minorEastAsia" w:eastAsiaTheme="minorEastAsia"/>
                <w:sz w:val="24"/>
                <w:szCs w:val="24"/>
              </w:rPr>
              <w:t>13</w:t>
            </w:r>
            <w:r>
              <w:rPr>
                <w:rFonts w:hint="eastAsia"/>
                <w:sz w:val="24"/>
                <w:szCs w:val="24"/>
              </w:rPr>
              <w:t>)</w:t>
            </w:r>
            <w:r>
              <w:rPr>
                <w:rFonts w:hint="eastAsia" w:asciiTheme="minorEastAsia" w:hAnsiTheme="minorEastAsia" w:eastAsiaTheme="minorEastAsia"/>
                <w:sz w:val="24"/>
                <w:szCs w:val="24"/>
              </w:rPr>
              <w:t>、唐海涛（14</w:t>
            </w:r>
            <w:r>
              <w:rPr>
                <w:rFonts w:hint="eastAsia"/>
                <w:sz w:val="24"/>
                <w:szCs w:val="24"/>
              </w:rPr>
              <w:t>)</w:t>
            </w:r>
            <w:r>
              <w:rPr>
                <w:rFonts w:hint="eastAsia" w:asciiTheme="minorEastAsia" w:hAnsiTheme="minorEastAsia" w:eastAsiaTheme="minorEastAsia"/>
                <w:sz w:val="24"/>
                <w:szCs w:val="24"/>
              </w:rPr>
              <w:t>、廖海兵</w:t>
            </w:r>
            <w:r>
              <w:rPr>
                <w:rFonts w:hint="eastAsia"/>
                <w:sz w:val="24"/>
                <w:szCs w:val="24"/>
              </w:rPr>
              <w:t>(</w:t>
            </w:r>
            <w:r>
              <w:rPr>
                <w:rFonts w:hint="eastAsia" w:asciiTheme="minorEastAsia" w:hAnsiTheme="minorEastAsia" w:eastAsiaTheme="minorEastAsia"/>
                <w:sz w:val="24"/>
                <w:szCs w:val="24"/>
              </w:rPr>
              <w:t>14</w:t>
            </w:r>
            <w:r>
              <w:rPr>
                <w:rFonts w:hint="eastAsia"/>
                <w:sz w:val="24"/>
                <w:szCs w:val="24"/>
              </w:rPr>
              <w:t>)</w:t>
            </w:r>
          </w:p>
        </w:tc>
        <w:tc>
          <w:tcPr>
            <w:tcW w:w="1459" w:type="dxa"/>
            <w:tcBorders>
              <w:bottom w:val="single" w:color="auto" w:sz="4" w:space="0"/>
            </w:tcBorders>
            <w:shd w:val="clear" w:color="auto" w:fill="auto"/>
            <w:vAlign w:val="center"/>
          </w:tcPr>
          <w:p>
            <w:pPr>
              <w:adjustRightInd w:val="0"/>
              <w:snapToGrid w:val="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2014-2018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786" w:hRule="atLeast"/>
          <w:jc w:val="center"/>
        </w:trPr>
        <w:tc>
          <w:tcPr>
            <w:tcW w:w="8505" w:type="dxa"/>
            <w:gridSpan w:val="6"/>
            <w:shd w:val="clear" w:color="auto" w:fill="auto"/>
          </w:tcPr>
          <w:p>
            <w:pPr>
              <w:spacing w:line="360" w:lineRule="auto"/>
              <w:ind w:firstLine="480" w:firstLineChars="200"/>
              <w:rPr>
                <w:rFonts w:eastAsiaTheme="minorEastAsia"/>
                <w:kern w:val="0"/>
                <w:sz w:val="24"/>
                <w:szCs w:val="24"/>
                <w:lang w:bidi="ar"/>
              </w:rPr>
            </w:pPr>
            <w:r>
              <w:rPr>
                <w:rFonts w:eastAsiaTheme="minorEastAsia"/>
                <w:sz w:val="24"/>
                <w:szCs w:val="24"/>
              </w:rPr>
              <w:t>基于广西丰富的药用资源，从中挖掘生物活性成分，同时</w:t>
            </w:r>
            <w:r>
              <w:rPr>
                <w:rFonts w:eastAsiaTheme="minorEastAsia"/>
                <w:kern w:val="0"/>
                <w:sz w:val="24"/>
                <w:szCs w:val="24"/>
                <w:lang w:bidi="ar"/>
              </w:rPr>
              <w:t>进行合成、结构改造、及</w:t>
            </w:r>
            <w:r>
              <w:rPr>
                <w:rFonts w:eastAsiaTheme="minorEastAsia"/>
                <w:sz w:val="24"/>
                <w:szCs w:val="24"/>
              </w:rPr>
              <w:t>开发利用</w:t>
            </w:r>
            <w:r>
              <w:rPr>
                <w:rFonts w:eastAsiaTheme="minorEastAsia"/>
                <w:kern w:val="0"/>
                <w:sz w:val="24"/>
                <w:szCs w:val="24"/>
                <w:lang w:bidi="ar"/>
              </w:rPr>
              <w:t>等方面研究，</w:t>
            </w:r>
            <w:r>
              <w:rPr>
                <w:rFonts w:eastAsiaTheme="minorEastAsia"/>
                <w:sz w:val="24"/>
                <w:szCs w:val="24"/>
              </w:rPr>
              <w:t>主要成果如下：（1）从广豆根、铜钻、鹊肾树等30余种广西特色药用资源中分离鉴定了1000多个不同结构类型的天然产物，其中300余个为首次发现的新化合物；并发现一系列具有显著抗病毒、抗肿瘤、抗炎、降糖等活性的新天然产物；</w:t>
            </w:r>
            <w:r>
              <w:rPr>
                <w:rFonts w:eastAsiaTheme="minorEastAsia"/>
                <w:kern w:val="0"/>
                <w:sz w:val="24"/>
                <w:szCs w:val="24"/>
                <w:lang w:bidi="ar"/>
              </w:rPr>
              <w:t>（2）提出新的合成策略，高效合成了具有多个化学敏感官能团的喹唑啉酮、吡咯[1,2-a]喹啉、苯并[4,5]咪唑[1,2-a]吡啶、多稠环吲哚啉生物碱及苯并氮杂环壬烷等活性天然产物，阐明了详细的反应过程，发现了若干独特的活性中间体和新颖的反应机理</w:t>
            </w:r>
            <w:r>
              <w:rPr>
                <w:rFonts w:hint="eastAsia"/>
                <w:kern w:val="0"/>
                <w:sz w:val="24"/>
                <w:szCs w:val="24"/>
                <w:lang w:bidi="ar"/>
              </w:rPr>
              <w:t>；</w:t>
            </w:r>
            <w:r>
              <w:rPr>
                <w:rFonts w:eastAsiaTheme="minorEastAsia"/>
                <w:kern w:val="0"/>
                <w:sz w:val="24"/>
                <w:szCs w:val="24"/>
                <w:lang w:bidi="ar"/>
              </w:rPr>
              <w:t>（3）通过对氧化异阿朴菲、吴茱萸次碱</w:t>
            </w:r>
            <w:r>
              <w:rPr>
                <w:kern w:val="0"/>
                <w:sz w:val="24"/>
                <w:szCs w:val="24"/>
                <w:lang w:bidi="ar"/>
              </w:rPr>
              <w:t>等天然产物的结构改造</w:t>
            </w:r>
            <w:r>
              <w:rPr>
                <w:rFonts w:eastAsiaTheme="minorEastAsia"/>
                <w:kern w:val="0"/>
                <w:sz w:val="24"/>
                <w:szCs w:val="24"/>
                <w:lang w:bidi="ar"/>
              </w:rPr>
              <w:t>，发现了</w:t>
            </w:r>
            <w:r>
              <w:rPr>
                <w:kern w:val="0"/>
                <w:sz w:val="24"/>
                <w:szCs w:val="24"/>
                <w:lang w:bidi="ar"/>
              </w:rPr>
              <w:t>系列</w:t>
            </w:r>
            <w:r>
              <w:rPr>
                <w:rFonts w:eastAsiaTheme="minorEastAsia"/>
                <w:kern w:val="0"/>
                <w:sz w:val="24"/>
                <w:szCs w:val="24"/>
                <w:lang w:bidi="ar"/>
              </w:rPr>
              <w:t>抗</w:t>
            </w:r>
            <w:r>
              <w:rPr>
                <w:rFonts w:hint="eastAsia"/>
                <w:kern w:val="0"/>
                <w:sz w:val="24"/>
                <w:szCs w:val="24"/>
                <w:lang w:bidi="ar"/>
              </w:rPr>
              <w:t>AD</w:t>
            </w:r>
            <w:r>
              <w:rPr>
                <w:rFonts w:eastAsiaTheme="minorEastAsia"/>
                <w:kern w:val="0"/>
                <w:sz w:val="24"/>
                <w:szCs w:val="24"/>
                <w:lang w:bidi="ar"/>
              </w:rPr>
              <w:t>或抗肿瘤先导化合物，</w:t>
            </w:r>
            <w:r>
              <w:rPr>
                <w:rFonts w:hint="eastAsia"/>
                <w:kern w:val="0"/>
                <w:sz w:val="24"/>
                <w:szCs w:val="24"/>
                <w:lang w:bidi="ar"/>
              </w:rPr>
              <w:t>并</w:t>
            </w:r>
            <w:r>
              <w:rPr>
                <w:kern w:val="0"/>
                <w:sz w:val="24"/>
                <w:szCs w:val="24"/>
                <w:lang w:bidi="ar"/>
              </w:rPr>
              <w:t>进行了深入的作用机制研究</w:t>
            </w:r>
            <w:r>
              <w:rPr>
                <w:rFonts w:eastAsiaTheme="minorEastAsia"/>
                <w:kern w:val="0"/>
                <w:sz w:val="24"/>
                <w:szCs w:val="24"/>
                <w:lang w:bidi="ar"/>
              </w:rPr>
              <w:t>。</w:t>
            </w:r>
          </w:p>
          <w:p>
            <w:pPr>
              <w:spacing w:line="360" w:lineRule="auto"/>
              <w:ind w:firstLine="480" w:firstLineChars="200"/>
              <w:rPr>
                <w:rFonts w:eastAsiaTheme="minorEastAsia"/>
                <w:sz w:val="24"/>
                <w:szCs w:val="24"/>
              </w:rPr>
            </w:pPr>
            <w:r>
              <w:rPr>
                <w:rFonts w:eastAsiaTheme="minorEastAsia"/>
                <w:kern w:val="0"/>
                <w:sz w:val="24"/>
              </w:rPr>
              <w:t>在</w:t>
            </w:r>
            <w:r>
              <w:rPr>
                <w:rFonts w:hint="eastAsia"/>
                <w:kern w:val="0"/>
                <w:sz w:val="24"/>
              </w:rPr>
              <w:t>开发</w:t>
            </w:r>
            <w:r>
              <w:rPr>
                <w:kern w:val="0"/>
                <w:sz w:val="24"/>
              </w:rPr>
              <w:t>方面</w:t>
            </w:r>
            <w:r>
              <w:rPr>
                <w:rFonts w:eastAsiaTheme="minorEastAsia"/>
                <w:kern w:val="0"/>
                <w:sz w:val="24"/>
              </w:rPr>
              <w:t>，将银杏酚酸脱除技术成功运用于石药银湖有限公司的产品舒血宁注射液上，年产值超亿元；以广西优势资源松香为原料，开发了糸列</w:t>
            </w:r>
            <w:r>
              <w:rPr>
                <w:kern w:val="0"/>
                <w:sz w:val="24"/>
              </w:rPr>
              <w:t>手性</w:t>
            </w:r>
            <w:r>
              <w:rPr>
                <w:rFonts w:eastAsiaTheme="minorEastAsia"/>
                <w:kern w:val="0"/>
                <w:sz w:val="24"/>
              </w:rPr>
              <w:t>产品，其中松香异硫酸酯在Sigma-Adrich销售，松香绿色农药增效剂已完成田间药效实验，建立年处理15吨中试线，高度歧化松香生产工艺在梧州松脂厂生产线上应用，产生了良好经济、社会效益。</w:t>
            </w:r>
          </w:p>
          <w:p>
            <w:pPr>
              <w:adjustRightInd w:val="0"/>
              <w:spacing w:line="360" w:lineRule="auto"/>
              <w:ind w:firstLine="480" w:firstLineChars="200"/>
              <w:rPr>
                <w:rFonts w:eastAsiaTheme="minorEastAsia"/>
                <w:sz w:val="24"/>
                <w:szCs w:val="24"/>
              </w:rPr>
            </w:pPr>
            <w:r>
              <w:rPr>
                <w:rFonts w:eastAsiaTheme="minorEastAsia"/>
                <w:kern w:val="0"/>
                <w:sz w:val="24"/>
                <w:szCs w:val="24"/>
                <w:lang w:bidi="ar"/>
              </w:rPr>
              <w:t>该成果在</w:t>
            </w:r>
            <w:r>
              <w:rPr>
                <w:rFonts w:eastAsiaTheme="minorEastAsia"/>
                <w:i/>
                <w:kern w:val="0"/>
                <w:sz w:val="24"/>
                <w:szCs w:val="24"/>
                <w:lang w:bidi="ar"/>
              </w:rPr>
              <w:t>Green Chem., J. Med. Chem., Org. Lett.,</w:t>
            </w:r>
            <w:r>
              <w:rPr>
                <w:rFonts w:eastAsiaTheme="minorEastAsia"/>
                <w:i/>
                <w:sz w:val="24"/>
                <w:szCs w:val="24"/>
              </w:rPr>
              <w:t xml:space="preserve"> J. Nat. Prod., Phytochemistry, Phytomedicine,</w:t>
            </w:r>
            <w:r>
              <w:rPr>
                <w:rFonts w:eastAsiaTheme="minorEastAsia"/>
                <w:i/>
                <w:kern w:val="0"/>
                <w:sz w:val="24"/>
                <w:szCs w:val="24"/>
                <w:lang w:bidi="ar"/>
              </w:rPr>
              <w:t xml:space="preserve"> Eur. J. Med. Chem., Neurochem. Int.</w:t>
            </w:r>
            <w:r>
              <w:rPr>
                <w:rFonts w:eastAsiaTheme="minorEastAsia"/>
                <w:kern w:val="0"/>
                <w:sz w:val="24"/>
                <w:szCs w:val="24"/>
                <w:lang w:bidi="ar"/>
              </w:rPr>
              <w:t>等发表SCI论文120余篇，获授权发明专利50项。发现了广西特色植物中的活性先导化合物，解决了药理活性研究样品数量和多样性不足的瓶颈问题，获</w:t>
            </w:r>
            <w:r>
              <w:rPr>
                <w:rFonts w:eastAsiaTheme="minorEastAsia"/>
                <w:sz w:val="24"/>
                <w:szCs w:val="24"/>
              </w:rPr>
              <w:t>山西省科学技术进步一等奖1项、</w:t>
            </w:r>
            <w:r>
              <w:rPr>
                <w:rFonts w:eastAsiaTheme="minorEastAsia"/>
                <w:kern w:val="0"/>
                <w:sz w:val="24"/>
                <w:szCs w:val="24"/>
                <w:lang w:bidi="ar"/>
              </w:rPr>
              <w:t>广西自然科学奖二等奖和三等奖各1项、广西科技进步奖二等奖各1项。</w:t>
            </w:r>
          </w:p>
          <w:p>
            <w:pPr>
              <w:adjustRightInd w:val="0"/>
              <w:snapToGrid w:val="0"/>
              <w:ind w:firstLine="480" w:firstLineChars="200"/>
              <w:rPr>
                <w:rFonts w:eastAsia="楷体_GB2312"/>
                <w:sz w:val="24"/>
                <w:szCs w:val="24"/>
              </w:rPr>
            </w:pPr>
          </w:p>
        </w:tc>
      </w:tr>
    </w:tbl>
    <w:p>
      <w:pPr>
        <w:adjustRightInd w:val="0"/>
        <w:snapToGrid w:val="0"/>
        <w:spacing w:line="360" w:lineRule="auto"/>
        <w:rPr>
          <w:rFonts w:eastAsia="黑体"/>
          <w:b/>
          <w:sz w:val="28"/>
          <w:szCs w:val="24"/>
        </w:rPr>
      </w:pPr>
    </w:p>
    <w:p>
      <w:pPr>
        <w:widowControl/>
        <w:jc w:val="left"/>
        <w:rPr>
          <w:rFonts w:eastAsia="黑体"/>
          <w:b/>
          <w:sz w:val="28"/>
          <w:szCs w:val="24"/>
        </w:rPr>
      </w:pPr>
      <w:r>
        <w:rPr>
          <w:rFonts w:eastAsia="黑体"/>
          <w:b/>
          <w:sz w:val="28"/>
          <w:szCs w:val="24"/>
        </w:rPr>
        <w:br w:type="page"/>
      </w:r>
    </w:p>
    <w:tbl>
      <w:tblPr>
        <w:tblStyle w:val="15"/>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
      <w:tblGrid>
        <w:gridCol w:w="600"/>
        <w:gridCol w:w="2150"/>
        <w:gridCol w:w="1024"/>
        <w:gridCol w:w="1385"/>
        <w:gridCol w:w="1640"/>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cantSplit/>
          <w:trHeight w:val="570" w:hRule="atLeast"/>
          <w:jc w:val="center"/>
        </w:trPr>
        <w:tc>
          <w:tcPr>
            <w:tcW w:w="600" w:type="dxa"/>
            <w:tcBorders>
              <w:bottom w:val="single" w:color="auto" w:sz="4" w:space="0"/>
            </w:tcBorders>
            <w:vAlign w:val="center"/>
          </w:tcPr>
          <w:p>
            <w:pPr>
              <w:adjustRightInd w:val="0"/>
              <w:snapToGrid w:val="0"/>
              <w:jc w:val="center"/>
              <w:rPr>
                <w:rFonts w:eastAsia="楷体_GB2312"/>
                <w:sz w:val="24"/>
                <w:szCs w:val="24"/>
              </w:rPr>
            </w:pPr>
            <w:r>
              <w:rPr>
                <w:rFonts w:eastAsia="黑体"/>
                <w:sz w:val="24"/>
                <w:szCs w:val="24"/>
              </w:rPr>
              <w:t>序号</w:t>
            </w:r>
          </w:p>
        </w:tc>
        <w:tc>
          <w:tcPr>
            <w:tcW w:w="2150" w:type="dxa"/>
            <w:tcBorders>
              <w:bottom w:val="single" w:color="auto" w:sz="4" w:space="0"/>
            </w:tcBorders>
            <w:vAlign w:val="center"/>
          </w:tcPr>
          <w:p>
            <w:pPr>
              <w:adjustRightInd w:val="0"/>
              <w:snapToGrid w:val="0"/>
              <w:jc w:val="center"/>
              <w:rPr>
                <w:rFonts w:eastAsia="黑体"/>
                <w:sz w:val="24"/>
                <w:szCs w:val="24"/>
              </w:rPr>
            </w:pPr>
            <w:r>
              <w:rPr>
                <w:rFonts w:eastAsia="黑体"/>
                <w:sz w:val="24"/>
                <w:szCs w:val="24"/>
              </w:rPr>
              <w:t>成果名称</w:t>
            </w:r>
          </w:p>
        </w:tc>
        <w:tc>
          <w:tcPr>
            <w:tcW w:w="1024" w:type="dxa"/>
            <w:tcBorders>
              <w:bottom w:val="single" w:color="auto" w:sz="4" w:space="0"/>
            </w:tcBorders>
            <w:vAlign w:val="center"/>
          </w:tcPr>
          <w:p>
            <w:pPr>
              <w:adjustRightInd w:val="0"/>
              <w:snapToGrid w:val="0"/>
              <w:jc w:val="center"/>
              <w:rPr>
                <w:rFonts w:eastAsia="黑体"/>
                <w:sz w:val="24"/>
                <w:szCs w:val="24"/>
              </w:rPr>
            </w:pPr>
            <w:r>
              <w:rPr>
                <w:rFonts w:eastAsia="黑体"/>
                <w:sz w:val="24"/>
                <w:szCs w:val="24"/>
              </w:rPr>
              <w:t>成果形式</w:t>
            </w:r>
          </w:p>
        </w:tc>
        <w:tc>
          <w:tcPr>
            <w:tcW w:w="1385" w:type="dxa"/>
            <w:tcBorders>
              <w:bottom w:val="single" w:color="auto" w:sz="4" w:space="0"/>
            </w:tcBorders>
            <w:vAlign w:val="center"/>
          </w:tcPr>
          <w:p>
            <w:pPr>
              <w:adjustRightInd w:val="0"/>
              <w:snapToGrid w:val="0"/>
              <w:jc w:val="center"/>
              <w:rPr>
                <w:rFonts w:eastAsia="黑体"/>
                <w:sz w:val="24"/>
                <w:szCs w:val="24"/>
              </w:rPr>
            </w:pPr>
            <w:r>
              <w:rPr>
                <w:rFonts w:eastAsia="黑体"/>
                <w:sz w:val="24"/>
                <w:szCs w:val="24"/>
              </w:rPr>
              <w:t>第一完成</w:t>
            </w:r>
          </w:p>
          <w:p>
            <w:pPr>
              <w:adjustRightInd w:val="0"/>
              <w:snapToGrid w:val="0"/>
              <w:jc w:val="center"/>
              <w:rPr>
                <w:rFonts w:eastAsia="黑体"/>
                <w:sz w:val="24"/>
                <w:szCs w:val="24"/>
              </w:rPr>
            </w:pPr>
            <w:r>
              <w:rPr>
                <w:rFonts w:eastAsia="黑体"/>
                <w:sz w:val="24"/>
                <w:szCs w:val="24"/>
              </w:rPr>
              <w:t>单位</w:t>
            </w:r>
          </w:p>
        </w:tc>
        <w:tc>
          <w:tcPr>
            <w:tcW w:w="1640" w:type="dxa"/>
            <w:vAlign w:val="center"/>
          </w:tcPr>
          <w:p>
            <w:pPr>
              <w:adjustRightInd w:val="0"/>
              <w:snapToGrid w:val="0"/>
              <w:jc w:val="center"/>
              <w:rPr>
                <w:rFonts w:eastAsia="黑体"/>
                <w:sz w:val="24"/>
                <w:szCs w:val="24"/>
              </w:rPr>
            </w:pPr>
            <w:r>
              <w:rPr>
                <w:rFonts w:eastAsia="黑体"/>
                <w:sz w:val="24"/>
                <w:szCs w:val="24"/>
              </w:rPr>
              <w:t>实验室参加人员姓名(排名)</w:t>
            </w:r>
          </w:p>
        </w:tc>
        <w:tc>
          <w:tcPr>
            <w:tcW w:w="1706" w:type="dxa"/>
            <w:vAlign w:val="center"/>
          </w:tcPr>
          <w:p>
            <w:pPr>
              <w:adjustRightInd w:val="0"/>
              <w:snapToGrid w:val="0"/>
              <w:jc w:val="center"/>
              <w:rPr>
                <w:rFonts w:eastAsia="黑体"/>
                <w:sz w:val="24"/>
                <w:szCs w:val="24"/>
              </w:rPr>
            </w:pPr>
            <w:r>
              <w:rPr>
                <w:rFonts w:eastAsia="黑体"/>
                <w:sz w:val="24"/>
                <w:szCs w:val="24"/>
              </w:rPr>
              <w:t>成果产生年度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cantSplit/>
          <w:trHeight w:val="570" w:hRule="atLeast"/>
          <w:jc w:val="center"/>
        </w:trPr>
        <w:tc>
          <w:tcPr>
            <w:tcW w:w="600" w:type="dxa"/>
            <w:tcBorders>
              <w:bottom w:val="single" w:color="auto" w:sz="4" w:space="0"/>
            </w:tcBorders>
            <w:vAlign w:val="center"/>
          </w:tcPr>
          <w:p>
            <w:pPr>
              <w:adjustRightInd w:val="0"/>
              <w:snapToGrid w:val="0"/>
              <w:jc w:val="center"/>
              <w:rPr>
                <w:sz w:val="24"/>
                <w:szCs w:val="24"/>
              </w:rPr>
            </w:pPr>
            <w:r>
              <w:rPr>
                <w:rFonts w:hint="eastAsia"/>
                <w:sz w:val="24"/>
                <w:szCs w:val="24"/>
              </w:rPr>
              <w:t>3</w:t>
            </w:r>
          </w:p>
        </w:tc>
        <w:tc>
          <w:tcPr>
            <w:tcW w:w="2150" w:type="dxa"/>
            <w:tcBorders>
              <w:bottom w:val="single" w:color="auto" w:sz="4" w:space="0"/>
            </w:tcBorders>
            <w:vAlign w:val="center"/>
          </w:tcPr>
          <w:p>
            <w:pPr>
              <w:adjustRightInd w:val="0"/>
              <w:snapToGrid w:val="0"/>
              <w:jc w:val="center"/>
              <w:rPr>
                <w:rFonts w:eastAsiaTheme="minorEastAsia"/>
                <w:sz w:val="24"/>
                <w:szCs w:val="24"/>
              </w:rPr>
            </w:pPr>
            <w:r>
              <w:rPr>
                <w:rFonts w:hint="eastAsia" w:eastAsiaTheme="minorEastAsia"/>
                <w:sz w:val="24"/>
                <w:szCs w:val="24"/>
              </w:rPr>
              <w:t>药效活性分子载运体系与诊疗探针的构筑及效应</w:t>
            </w:r>
          </w:p>
        </w:tc>
        <w:tc>
          <w:tcPr>
            <w:tcW w:w="1024" w:type="dxa"/>
            <w:tcBorders>
              <w:bottom w:val="single" w:color="auto" w:sz="4" w:space="0"/>
            </w:tcBorders>
            <w:vAlign w:val="center"/>
          </w:tcPr>
          <w:p>
            <w:pPr>
              <w:adjustRightInd w:val="0"/>
              <w:snapToGrid w:val="0"/>
              <w:jc w:val="center"/>
              <w:rPr>
                <w:rFonts w:eastAsiaTheme="minorEastAsia"/>
                <w:sz w:val="24"/>
                <w:szCs w:val="24"/>
              </w:rPr>
            </w:pPr>
            <w:r>
              <w:rPr>
                <w:rFonts w:hint="eastAsia" w:eastAsiaTheme="minorEastAsia"/>
                <w:sz w:val="24"/>
                <w:szCs w:val="24"/>
              </w:rPr>
              <w:t>论文和专利</w:t>
            </w:r>
          </w:p>
        </w:tc>
        <w:tc>
          <w:tcPr>
            <w:tcW w:w="1385" w:type="dxa"/>
            <w:tcBorders>
              <w:bottom w:val="single" w:color="auto" w:sz="4" w:space="0"/>
            </w:tcBorders>
            <w:vAlign w:val="center"/>
          </w:tcPr>
          <w:p>
            <w:pPr>
              <w:adjustRightInd w:val="0"/>
              <w:snapToGrid w:val="0"/>
              <w:jc w:val="center"/>
              <w:rPr>
                <w:rFonts w:eastAsiaTheme="minorEastAsia"/>
                <w:sz w:val="24"/>
                <w:szCs w:val="24"/>
              </w:rPr>
            </w:pPr>
            <w:r>
              <w:rPr>
                <w:rFonts w:eastAsiaTheme="minorEastAsia"/>
                <w:sz w:val="24"/>
                <w:szCs w:val="24"/>
              </w:rPr>
              <w:t>广西师范大学</w:t>
            </w:r>
          </w:p>
        </w:tc>
        <w:tc>
          <w:tcPr>
            <w:tcW w:w="1640" w:type="dxa"/>
            <w:tcBorders>
              <w:bottom w:val="single" w:color="auto" w:sz="4" w:space="0"/>
            </w:tcBorders>
            <w:vAlign w:val="center"/>
          </w:tcPr>
          <w:p>
            <w:pPr>
              <w:adjustRightInd w:val="0"/>
              <w:snapToGrid w:val="0"/>
              <w:jc w:val="center"/>
              <w:rPr>
                <w:rFonts w:eastAsiaTheme="minorEastAsia"/>
                <w:sz w:val="24"/>
                <w:szCs w:val="24"/>
              </w:rPr>
            </w:pPr>
            <w:r>
              <w:rPr>
                <w:rFonts w:hint="eastAsia" w:eastAsiaTheme="minorEastAsia"/>
                <w:sz w:val="24"/>
                <w:szCs w:val="24"/>
              </w:rPr>
              <w:t>赵书林(1)，沈星灿(2)、梁宏(3)、曾明华(4)、张亮亮(5)、叶芳贵(6)、黄勇(7)、蒋邦平(8)、陈华(9)、高存继(10)</w:t>
            </w:r>
          </w:p>
        </w:tc>
        <w:tc>
          <w:tcPr>
            <w:tcW w:w="1706" w:type="dxa"/>
            <w:tcBorders>
              <w:bottom w:val="single" w:color="auto" w:sz="4" w:space="0"/>
            </w:tcBorders>
            <w:vAlign w:val="center"/>
          </w:tcPr>
          <w:p>
            <w:pPr>
              <w:adjustRightInd w:val="0"/>
              <w:snapToGrid w:val="0"/>
              <w:jc w:val="center"/>
              <w:rPr>
                <w:rFonts w:eastAsiaTheme="minorEastAsia"/>
                <w:sz w:val="24"/>
                <w:szCs w:val="24"/>
              </w:rPr>
            </w:pPr>
            <w:r>
              <w:rPr>
                <w:rFonts w:eastAsiaTheme="minorEastAsia"/>
                <w:sz w:val="24"/>
                <w:szCs w:val="24"/>
              </w:rPr>
              <w:t>2014-2018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850" w:hRule="atLeast"/>
          <w:jc w:val="center"/>
        </w:trPr>
        <w:tc>
          <w:tcPr>
            <w:tcW w:w="8505" w:type="dxa"/>
            <w:gridSpan w:val="6"/>
          </w:tcPr>
          <w:p>
            <w:pPr>
              <w:adjustRightInd w:val="0"/>
              <w:snapToGrid w:val="0"/>
              <w:spacing w:before="156" w:beforeLines="50" w:line="360" w:lineRule="auto"/>
              <w:ind w:left="71" w:leftChars="34" w:right="40" w:rightChars="19" w:firstLine="480" w:firstLineChars="200"/>
              <w:rPr>
                <w:sz w:val="24"/>
                <w:szCs w:val="24"/>
              </w:rPr>
            </w:pPr>
            <w:r>
              <w:rPr>
                <w:rFonts w:hint="eastAsia" w:asciiTheme="minorEastAsia" w:hAnsiTheme="minorEastAsia" w:eastAsiaTheme="minorEastAsia"/>
                <w:sz w:val="24"/>
                <w:szCs w:val="24"/>
              </w:rPr>
              <w:t>该成果立足于病变部位的精准成像、药效分子的有效载运研究，取得系列原创性的新发现。包括</w:t>
            </w:r>
            <w:r>
              <w:rPr>
                <w:rFonts w:asciiTheme="minorEastAsia" w:hAnsiTheme="minorEastAsia" w:eastAsiaTheme="minorEastAsia"/>
                <w:sz w:val="24"/>
                <w:szCs w:val="24"/>
              </w:rPr>
              <w:t>:</w:t>
            </w: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w:t>
            </w:r>
            <w:r>
              <w:rPr>
                <w:rFonts w:hint="eastAsia" w:asciiTheme="minorEastAsia" w:hAnsiTheme="minorEastAsia" w:eastAsiaTheme="minorEastAsia"/>
                <w:bCs/>
                <w:sz w:val="24"/>
                <w:szCs w:val="24"/>
              </w:rPr>
              <w:t>发展了基于金属-有机框架作用以构筑高稳定的宽波长荧光探针和药物智能载运体系，实现对肿瘤的原位成像</w:t>
            </w:r>
            <w:r>
              <w:rPr>
                <w:rFonts w:hint="eastAsia" w:asciiTheme="minorEastAsia" w:hAnsiTheme="minorEastAsia" w:eastAsiaTheme="minorEastAsia"/>
                <w:sz w:val="24"/>
                <w:szCs w:val="24"/>
              </w:rPr>
              <w:t>；（2）建立了通过表界面</w:t>
            </w:r>
            <w:r>
              <w:rPr>
                <w:rFonts w:hint="eastAsia" w:asciiTheme="minorEastAsia" w:hAnsiTheme="minorEastAsia" w:eastAsiaTheme="minorEastAsia"/>
                <w:sz w:val="24"/>
                <w:szCs w:val="24"/>
              </w:rPr>
              <w:sym w:font="Symbol" w:char="F070"/>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rPr>
              <w:sym w:font="Symbol" w:char="F070"/>
            </w:r>
            <w:r>
              <w:rPr>
                <w:rFonts w:hint="eastAsia" w:asciiTheme="minorEastAsia" w:hAnsiTheme="minorEastAsia" w:eastAsiaTheme="minorEastAsia"/>
                <w:sz w:val="24"/>
                <w:szCs w:val="24"/>
              </w:rPr>
              <w:t>组装简捷构筑载运体系以增强载体水溶性、光敏剂光稳定性及体系光热与光动力治疗活性的新方法；</w:t>
            </w:r>
            <w:r>
              <w:rPr>
                <w:rFonts w:hint="eastAsia"/>
                <w:sz w:val="24"/>
                <w:szCs w:val="24"/>
              </w:rPr>
              <w:t>（</w:t>
            </w:r>
            <w:r>
              <w:rPr>
                <w:sz w:val="24"/>
                <w:szCs w:val="24"/>
              </w:rPr>
              <w:t>3</w:t>
            </w:r>
            <w:r>
              <w:rPr>
                <w:rFonts w:hint="eastAsia"/>
                <w:sz w:val="24"/>
                <w:szCs w:val="24"/>
              </w:rPr>
              <w:t>）</w:t>
            </w:r>
            <w:r>
              <w:rPr>
                <w:rFonts w:hint="eastAsia"/>
                <w:bCs/>
                <w:sz w:val="24"/>
                <w:szCs w:val="24"/>
              </w:rPr>
              <w:t>研制了近红外比率型荧光纳米探针，实时原位监测脂多糖刺激诱导炎症、过氧化氢诱导细胞凋亡等生命效应</w:t>
            </w:r>
            <w:r>
              <w:rPr>
                <w:rFonts w:hint="eastAsia"/>
                <w:sz w:val="24"/>
                <w:szCs w:val="24"/>
              </w:rPr>
              <w:t>，为药物作用过程及效应监测提供了探针构筑新思路。</w:t>
            </w:r>
          </w:p>
          <w:p>
            <w:pPr>
              <w:adjustRightInd w:val="0"/>
              <w:snapToGrid w:val="0"/>
              <w:spacing w:before="156" w:beforeLines="50" w:line="360" w:lineRule="auto"/>
              <w:ind w:left="71" w:leftChars="34" w:right="40" w:rightChars="19" w:firstLine="480" w:firstLineChars="200"/>
              <w:rPr>
                <w:sz w:val="24"/>
                <w:szCs w:val="24"/>
                <w:lang w:val="de-DE"/>
              </w:rPr>
            </w:pPr>
            <w:r>
              <w:rPr>
                <w:rFonts w:hint="eastAsia"/>
                <w:sz w:val="24"/>
                <w:szCs w:val="24"/>
              </w:rPr>
              <w:t>该成果极大创新了药效活性分子载运体系与诊疗探针的构筑方法并提升了我国在该领域研究的竞争力及国际学术影响，在</w:t>
            </w:r>
            <w:r>
              <w:rPr>
                <w:i/>
                <w:sz w:val="24"/>
                <w:szCs w:val="24"/>
              </w:rPr>
              <w:t>Angew. Chem. Int. Ed.,</w:t>
            </w:r>
            <w:r>
              <w:rPr>
                <w:i/>
                <w:iCs/>
                <w:color w:val="0033CC"/>
                <w:kern w:val="24"/>
                <w:sz w:val="36"/>
                <w:szCs w:val="36"/>
                <w:lang w:val="de-DE"/>
              </w:rPr>
              <w:t xml:space="preserve"> </w:t>
            </w:r>
            <w:r>
              <w:rPr>
                <w:i/>
                <w:iCs/>
                <w:sz w:val="24"/>
                <w:szCs w:val="24"/>
                <w:lang w:val="de-DE"/>
              </w:rPr>
              <w:t>J. Am. Chem. Soc.</w:t>
            </w:r>
            <w:r>
              <w:rPr>
                <w:rFonts w:hint="eastAsia"/>
                <w:i/>
                <w:iCs/>
                <w:sz w:val="24"/>
                <w:szCs w:val="24"/>
                <w:lang w:val="de-DE"/>
              </w:rPr>
              <w:t>,</w:t>
            </w:r>
            <w:r>
              <w:rPr>
                <w:i/>
                <w:iCs/>
                <w:sz w:val="24"/>
                <w:szCs w:val="24"/>
                <w:lang w:val="de-DE"/>
              </w:rPr>
              <w:t xml:space="preserve"> </w:t>
            </w:r>
            <w:r>
              <w:rPr>
                <w:i/>
                <w:sz w:val="24"/>
                <w:szCs w:val="24"/>
                <w:lang w:val="de-DE"/>
              </w:rPr>
              <w:t xml:space="preserve">Small, </w:t>
            </w:r>
            <w:r>
              <w:rPr>
                <w:i/>
                <w:iCs/>
                <w:sz w:val="24"/>
                <w:szCs w:val="24"/>
                <w:lang w:val="de-DE"/>
              </w:rPr>
              <w:t>Anal. Chem.,</w:t>
            </w:r>
            <w:r>
              <w:rPr>
                <w:b/>
                <w:bCs/>
                <w:i/>
                <w:iCs/>
                <w:sz w:val="24"/>
                <w:szCs w:val="24"/>
                <w:lang w:val="de-DE"/>
              </w:rPr>
              <w:t xml:space="preserve"> </w:t>
            </w:r>
            <w:r>
              <w:rPr>
                <w:i/>
                <w:sz w:val="24"/>
                <w:szCs w:val="24"/>
                <w:lang w:val="de-DE"/>
              </w:rPr>
              <w:t>Chem. Common.</w:t>
            </w:r>
            <w:r>
              <w:rPr>
                <w:rFonts w:hint="eastAsia"/>
                <w:sz w:val="24"/>
                <w:szCs w:val="24"/>
              </w:rPr>
              <w:t>等化学、材料领域国际权威学术期刊上</w:t>
            </w:r>
            <w:r>
              <w:rPr>
                <w:rFonts w:hint="eastAsia"/>
                <w:bCs/>
                <w:sz w:val="24"/>
                <w:szCs w:val="24"/>
              </w:rPr>
              <w:t>发表</w:t>
            </w:r>
            <w:r>
              <w:rPr>
                <w:bCs/>
                <w:sz w:val="24"/>
                <w:szCs w:val="24"/>
                <w:lang w:val="de-DE"/>
              </w:rPr>
              <w:t>SCI</w:t>
            </w:r>
            <w:r>
              <w:rPr>
                <w:rFonts w:hint="eastAsia"/>
                <w:bCs/>
                <w:sz w:val="24"/>
                <w:szCs w:val="24"/>
              </w:rPr>
              <w:t>论文</w:t>
            </w:r>
            <w:r>
              <w:rPr>
                <w:bCs/>
                <w:sz w:val="24"/>
                <w:szCs w:val="24"/>
                <w:lang w:val="de-DE"/>
              </w:rPr>
              <w:t>33</w:t>
            </w:r>
            <w:r>
              <w:rPr>
                <w:rFonts w:hint="eastAsia"/>
                <w:bCs/>
                <w:sz w:val="24"/>
                <w:szCs w:val="24"/>
              </w:rPr>
              <w:t>篇</w:t>
            </w:r>
            <w:r>
              <w:rPr>
                <w:rFonts w:hint="eastAsia"/>
                <w:bCs/>
                <w:sz w:val="24"/>
                <w:szCs w:val="24"/>
                <w:lang w:val="de-DE"/>
              </w:rPr>
              <w:t>，</w:t>
            </w:r>
            <w:r>
              <w:rPr>
                <w:rFonts w:hint="eastAsia"/>
                <w:bCs/>
                <w:sz w:val="24"/>
                <w:szCs w:val="24"/>
              </w:rPr>
              <w:t>其中</w:t>
            </w:r>
            <w:r>
              <w:rPr>
                <w:bCs/>
                <w:sz w:val="24"/>
                <w:szCs w:val="24"/>
                <w:lang w:val="de-DE"/>
              </w:rPr>
              <w:t>IF</w:t>
            </w:r>
            <w:r>
              <w:rPr>
                <w:rFonts w:hint="eastAsia"/>
                <w:bCs/>
                <w:sz w:val="24"/>
                <w:szCs w:val="24"/>
              </w:rPr>
              <w:sym w:font="Symbol" w:char="F03E"/>
            </w:r>
            <w:r>
              <w:rPr>
                <w:bCs/>
                <w:sz w:val="24"/>
                <w:szCs w:val="24"/>
                <w:lang w:val="de-DE"/>
              </w:rPr>
              <w:t>10</w:t>
            </w:r>
            <w:r>
              <w:rPr>
                <w:rFonts w:hint="eastAsia"/>
                <w:bCs/>
                <w:sz w:val="24"/>
                <w:szCs w:val="24"/>
              </w:rPr>
              <w:t>论文</w:t>
            </w:r>
            <w:r>
              <w:rPr>
                <w:bCs/>
                <w:sz w:val="24"/>
                <w:szCs w:val="24"/>
                <w:lang w:val="de-DE"/>
              </w:rPr>
              <w:t>3</w:t>
            </w:r>
            <w:r>
              <w:rPr>
                <w:rFonts w:hint="eastAsia"/>
                <w:bCs/>
                <w:sz w:val="24"/>
                <w:szCs w:val="24"/>
              </w:rPr>
              <w:t>篇</w:t>
            </w:r>
            <w:r>
              <w:rPr>
                <w:rFonts w:hint="eastAsia"/>
                <w:bCs/>
                <w:sz w:val="24"/>
                <w:szCs w:val="24"/>
                <w:lang w:val="de-DE"/>
              </w:rPr>
              <w:t>，</w:t>
            </w:r>
            <w:r>
              <w:rPr>
                <w:bCs/>
                <w:sz w:val="24"/>
                <w:szCs w:val="24"/>
                <w:lang w:val="de-DE"/>
              </w:rPr>
              <w:t>IF</w:t>
            </w:r>
            <w:r>
              <w:rPr>
                <w:rFonts w:hint="eastAsia"/>
                <w:bCs/>
                <w:sz w:val="24"/>
                <w:szCs w:val="24"/>
              </w:rPr>
              <w:sym w:font="Symbol" w:char="F03E"/>
            </w:r>
            <w:r>
              <w:rPr>
                <w:bCs/>
                <w:sz w:val="24"/>
                <w:szCs w:val="24"/>
                <w:lang w:val="de-DE"/>
              </w:rPr>
              <w:t>5</w:t>
            </w:r>
            <w:r>
              <w:rPr>
                <w:rFonts w:hint="eastAsia"/>
                <w:bCs/>
                <w:sz w:val="24"/>
                <w:szCs w:val="24"/>
              </w:rPr>
              <w:t>论文</w:t>
            </w:r>
            <w:r>
              <w:rPr>
                <w:bCs/>
                <w:sz w:val="24"/>
                <w:szCs w:val="24"/>
                <w:lang w:val="de-DE"/>
              </w:rPr>
              <w:t>27</w:t>
            </w:r>
            <w:r>
              <w:rPr>
                <w:rFonts w:hint="eastAsia"/>
                <w:bCs/>
                <w:sz w:val="24"/>
                <w:szCs w:val="24"/>
              </w:rPr>
              <w:t>篇</w:t>
            </w:r>
            <w:r>
              <w:rPr>
                <w:rFonts w:hint="eastAsia"/>
                <w:bCs/>
                <w:sz w:val="24"/>
                <w:szCs w:val="24"/>
                <w:lang w:val="de-DE"/>
              </w:rPr>
              <w:t>，</w:t>
            </w:r>
            <w:r>
              <w:rPr>
                <w:bCs/>
                <w:sz w:val="24"/>
                <w:szCs w:val="24"/>
                <w:lang w:val="de-DE"/>
              </w:rPr>
              <w:t>ESI</w:t>
            </w:r>
            <w:r>
              <w:rPr>
                <w:rFonts w:hint="eastAsia"/>
                <w:bCs/>
                <w:sz w:val="24"/>
                <w:szCs w:val="24"/>
              </w:rPr>
              <w:t>高被引论文</w:t>
            </w:r>
            <w:r>
              <w:rPr>
                <w:bCs/>
                <w:sz w:val="24"/>
                <w:szCs w:val="24"/>
                <w:lang w:val="de-DE"/>
              </w:rPr>
              <w:t>1</w:t>
            </w:r>
            <w:r>
              <w:rPr>
                <w:rFonts w:hint="eastAsia"/>
                <w:bCs/>
                <w:sz w:val="24"/>
                <w:szCs w:val="24"/>
              </w:rPr>
              <w:t>篇</w:t>
            </w:r>
            <w:r>
              <w:rPr>
                <w:rFonts w:hint="eastAsia"/>
                <w:sz w:val="24"/>
                <w:szCs w:val="24"/>
                <w:lang w:val="de-DE"/>
              </w:rPr>
              <w:t>，</w:t>
            </w:r>
            <w:r>
              <w:rPr>
                <w:rFonts w:hint="eastAsia"/>
                <w:bCs/>
                <w:sz w:val="24"/>
                <w:szCs w:val="24"/>
              </w:rPr>
              <w:t>封面论文</w:t>
            </w:r>
            <w:r>
              <w:rPr>
                <w:bCs/>
                <w:sz w:val="24"/>
                <w:szCs w:val="24"/>
                <w:lang w:val="de-DE"/>
              </w:rPr>
              <w:t>3</w:t>
            </w:r>
            <w:r>
              <w:rPr>
                <w:rFonts w:hint="eastAsia"/>
                <w:bCs/>
                <w:sz w:val="24"/>
                <w:szCs w:val="24"/>
              </w:rPr>
              <w:t>篇</w:t>
            </w:r>
            <w:r>
              <w:rPr>
                <w:rFonts w:hint="eastAsia"/>
                <w:sz w:val="24"/>
                <w:szCs w:val="24"/>
              </w:rPr>
              <w:t>。获授权国内专利4个。</w:t>
            </w:r>
          </w:p>
          <w:p>
            <w:pPr>
              <w:adjustRightInd w:val="0"/>
              <w:snapToGrid w:val="0"/>
              <w:spacing w:before="50" w:line="360" w:lineRule="auto"/>
              <w:ind w:left="176" w:leftChars="84" w:right="40" w:rightChars="19" w:firstLine="480" w:firstLineChars="200"/>
            </w:pPr>
            <w:r>
              <w:rPr>
                <w:rFonts w:hint="eastAsia"/>
                <w:sz w:val="24"/>
                <w:szCs w:val="24"/>
              </w:rPr>
              <w:t>成果发表后即被世界范围内知名学者在</w:t>
            </w:r>
            <w:r>
              <w:rPr>
                <w:rFonts w:hint="eastAsia"/>
                <w:i/>
                <w:sz w:val="24"/>
                <w:szCs w:val="24"/>
              </w:rPr>
              <w:t>Chem. Rev., Angew. Chem. Int. Ed.</w:t>
            </w:r>
            <w:r>
              <w:rPr>
                <w:rFonts w:hint="eastAsia"/>
                <w:sz w:val="24"/>
                <w:szCs w:val="24"/>
              </w:rPr>
              <w:t>等顶级学术期刊论文正面评价与引用，例如，韩国浦项科技大学Kwang S. Kim教授（全球Top500化学家）和</w:t>
            </w:r>
            <w:r>
              <w:rPr>
                <w:rFonts w:hint="eastAsia"/>
                <w:bCs/>
                <w:sz w:val="24"/>
              </w:rPr>
              <w:t>中科院上海药物研究所</w:t>
            </w:r>
            <w:r>
              <w:rPr>
                <w:rFonts w:hint="eastAsia"/>
                <w:sz w:val="24"/>
                <w:szCs w:val="24"/>
              </w:rPr>
              <w:t>李佳教授在其发表的综述中分别对我们的工作进行了大篇幅正面引用。国际权威学术新闻媒体也在ChemistryViews上对我们的工作进行了亮点推介。基于这些成果，被邀在</w:t>
            </w:r>
            <w:r>
              <w:rPr>
                <w:i/>
                <w:iCs/>
                <w:color w:val="000000" w:themeColor="text1"/>
                <w:sz w:val="24"/>
                <w:szCs w:val="24"/>
                <w:shd w:val="clear" w:color="auto" w:fill="FFFFFF"/>
                <w14:textFill>
                  <w14:solidFill>
                    <w14:schemeClr w14:val="tx1"/>
                  </w14:solidFill>
                </w14:textFill>
              </w:rPr>
              <w:t xml:space="preserve">Coord. </w:t>
            </w:r>
            <w:r>
              <w:rPr>
                <w:rStyle w:val="18"/>
                <w:color w:val="000000" w:themeColor="text1"/>
                <w:sz w:val="24"/>
                <w:szCs w:val="24"/>
                <w:shd w:val="clear" w:color="auto" w:fill="FFFFFF"/>
                <w14:textFill>
                  <w14:solidFill>
                    <w14:schemeClr w14:val="tx1"/>
                  </w14:solidFill>
                </w14:textFill>
              </w:rPr>
              <w:t>Chem</w:t>
            </w:r>
            <w:r>
              <w:rPr>
                <w:color w:val="000000" w:themeColor="text1"/>
                <w:sz w:val="24"/>
                <w:szCs w:val="24"/>
                <w:shd w:val="clear" w:color="auto" w:fill="FFFFFF"/>
                <w14:textFill>
                  <w14:solidFill>
                    <w14:schemeClr w14:val="tx1"/>
                  </w14:solidFill>
                </w14:textFill>
              </w:rPr>
              <w:t xml:space="preserve">. </w:t>
            </w:r>
            <w:r>
              <w:rPr>
                <w:rStyle w:val="18"/>
                <w:color w:val="000000" w:themeColor="text1"/>
                <w:sz w:val="24"/>
                <w:szCs w:val="24"/>
                <w:shd w:val="clear" w:color="auto" w:fill="FFFFFF"/>
                <w14:textFill>
                  <w14:solidFill>
                    <w14:schemeClr w14:val="tx1"/>
                  </w14:solidFill>
                </w14:textFill>
              </w:rPr>
              <w:t>Re</w:t>
            </w:r>
            <w:r>
              <w:rPr>
                <w:rStyle w:val="18"/>
                <w:rFonts w:hint="eastAsia"/>
                <w:color w:val="000000" w:themeColor="text1"/>
                <w:sz w:val="24"/>
                <w:szCs w:val="24"/>
                <w:shd w:val="clear" w:color="auto" w:fill="FFFFFF"/>
                <w14:textFill>
                  <w14:solidFill>
                    <w14:schemeClr w14:val="tx1"/>
                  </w14:solidFill>
                </w14:textFill>
              </w:rPr>
              <w:t>v</w:t>
            </w:r>
            <w:r>
              <w:rPr>
                <w:color w:val="000000" w:themeColor="text1"/>
                <w:sz w:val="24"/>
                <w:szCs w:val="24"/>
                <w:shd w:val="clear" w:color="auto" w:fill="FFFFFF"/>
                <w14:textFill>
                  <w14:solidFill>
                    <w14:schemeClr w14:val="tx1"/>
                  </w14:solidFill>
                </w14:textFill>
              </w:rPr>
              <w:t xml:space="preserve">., </w:t>
            </w:r>
            <w:r>
              <w:rPr>
                <w:i/>
                <w:iCs/>
                <w:color w:val="000000" w:themeColor="text1"/>
                <w:sz w:val="24"/>
                <w:szCs w:val="24"/>
                <w14:textFill>
                  <w14:solidFill>
                    <w14:schemeClr w14:val="tx1"/>
                  </w14:solidFill>
                </w14:textFill>
              </w:rPr>
              <w:t>Chem. Eur. J.</w:t>
            </w:r>
            <w:r>
              <w:rPr>
                <w:rFonts w:hint="eastAsia"/>
                <w:sz w:val="24"/>
                <w:szCs w:val="24"/>
              </w:rPr>
              <w:t>等权威杂志上发表综述性文章。</w:t>
            </w:r>
          </w:p>
        </w:tc>
      </w:tr>
    </w:tbl>
    <w:p>
      <w:pPr>
        <w:widowControl/>
        <w:jc w:val="left"/>
        <w:rPr>
          <w:rFonts w:eastAsia="黑体"/>
          <w:b/>
          <w:sz w:val="28"/>
          <w:szCs w:val="24"/>
        </w:rPr>
      </w:pPr>
      <w:r>
        <w:rPr>
          <w:rFonts w:eastAsia="黑体"/>
          <w:b/>
          <w:sz w:val="28"/>
          <w:szCs w:val="24"/>
        </w:rPr>
        <w:br w:type="page"/>
      </w:r>
    </w:p>
    <w:p>
      <w:pPr>
        <w:adjustRightInd w:val="0"/>
        <w:snapToGrid w:val="0"/>
        <w:spacing w:line="360" w:lineRule="auto"/>
        <w:ind w:firstLine="562" w:firstLineChars="200"/>
        <w:rPr>
          <w:rFonts w:eastAsia="黑体"/>
          <w:b/>
          <w:sz w:val="28"/>
          <w:szCs w:val="24"/>
        </w:rPr>
      </w:pPr>
      <w:r>
        <w:rPr>
          <w:rFonts w:eastAsia="黑体"/>
          <w:b/>
          <w:sz w:val="28"/>
          <w:szCs w:val="24"/>
        </w:rPr>
        <w:t>3、承担科研任务</w:t>
      </w:r>
    </w:p>
    <w:tbl>
      <w:tblPr>
        <w:tblStyle w:val="15"/>
        <w:tblW w:w="8435" w:type="dxa"/>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56" w:hRule="atLeast"/>
        </w:trPr>
        <w:tc>
          <w:tcPr>
            <w:tcW w:w="8435" w:type="dxa"/>
          </w:tcPr>
          <w:p>
            <w:pPr>
              <w:adjustRightInd w:val="0"/>
              <w:snapToGrid w:val="0"/>
              <w:ind w:firstLine="480" w:firstLineChars="200"/>
              <w:rPr>
                <w:rFonts w:eastAsia="楷体_GB2312"/>
                <w:sz w:val="24"/>
                <w:szCs w:val="24"/>
              </w:rPr>
            </w:pPr>
            <w:r>
              <w:rPr>
                <w:rFonts w:eastAsia="楷体_GB2312"/>
                <w:sz w:val="24"/>
                <w:szCs w:val="24"/>
              </w:rPr>
              <w:t>概述实验室评估期内承担科研任务总体情况。（600字以内）</w:t>
            </w:r>
          </w:p>
          <w:p>
            <w:pPr>
              <w:adjustRightInd w:val="0"/>
              <w:snapToGrid w:val="0"/>
              <w:rPr>
                <w:rFonts w:eastAsia="楷体_GB2312"/>
                <w:sz w:val="24"/>
                <w:szCs w:val="24"/>
              </w:rPr>
            </w:pPr>
          </w:p>
          <w:p>
            <w:pPr>
              <w:adjustRightInd w:val="0"/>
              <w:snapToGrid w:val="0"/>
              <w:spacing w:before="156" w:beforeLines="50" w:line="360" w:lineRule="auto"/>
              <w:ind w:firstLine="48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2014年-2018年期间，在教育部、教育厅等上级部门的指导下，围绕上述三个研究方向开展科学研究，</w:t>
            </w:r>
            <w:r>
              <w:rPr>
                <w:rFonts w:asciiTheme="minorEastAsia" w:hAnsiTheme="minorEastAsia" w:eastAsiaTheme="minorEastAsia"/>
                <w:kern w:val="0"/>
                <w:sz w:val="24"/>
                <w:szCs w:val="24"/>
              </w:rPr>
              <w:t>实验室共承担各类科研项目</w:t>
            </w:r>
            <w:r>
              <w:rPr>
                <w:rFonts w:hint="eastAsia" w:asciiTheme="minorEastAsia" w:hAnsiTheme="minorEastAsia" w:eastAsiaTheme="minorEastAsia"/>
                <w:kern w:val="0"/>
                <w:sz w:val="24"/>
                <w:szCs w:val="24"/>
              </w:rPr>
              <w:t>242</w:t>
            </w:r>
            <w:r>
              <w:rPr>
                <w:rFonts w:asciiTheme="minorEastAsia" w:hAnsiTheme="minorEastAsia" w:eastAsiaTheme="minorEastAsia"/>
                <w:kern w:val="0"/>
                <w:sz w:val="24"/>
                <w:szCs w:val="24"/>
              </w:rPr>
              <w:t>项，</w:t>
            </w:r>
            <w:r>
              <w:rPr>
                <w:rFonts w:hint="eastAsia" w:asciiTheme="minorEastAsia" w:hAnsiTheme="minorEastAsia" w:eastAsiaTheme="minorEastAsia"/>
                <w:kern w:val="0"/>
                <w:sz w:val="24"/>
                <w:szCs w:val="24"/>
              </w:rPr>
              <w:t>到位科研经费共计9256万元。</w:t>
            </w:r>
            <w:r>
              <w:rPr>
                <w:rFonts w:asciiTheme="minorEastAsia" w:hAnsiTheme="minorEastAsia" w:eastAsiaTheme="minorEastAsia"/>
                <w:kern w:val="0"/>
                <w:sz w:val="24"/>
                <w:szCs w:val="24"/>
              </w:rPr>
              <w:t>其中国家级项目</w:t>
            </w:r>
            <w:r>
              <w:rPr>
                <w:rFonts w:hint="eastAsia" w:asciiTheme="minorEastAsia" w:hAnsiTheme="minorEastAsia" w:eastAsiaTheme="minorEastAsia"/>
                <w:kern w:val="0"/>
                <w:sz w:val="24"/>
                <w:szCs w:val="24"/>
              </w:rPr>
              <w:t>82项，包括</w:t>
            </w:r>
            <w:r>
              <w:rPr>
                <w:rFonts w:asciiTheme="minorEastAsia" w:hAnsiTheme="minorEastAsia" w:eastAsiaTheme="minorEastAsia"/>
                <w:kern w:val="0"/>
                <w:sz w:val="24"/>
                <w:szCs w:val="24"/>
              </w:rPr>
              <w:t>：国家自然科学重点项目1项、杰出青年科学基金1项、仪器专项1项</w:t>
            </w:r>
            <w:r>
              <w:rPr>
                <w:rFonts w:hint="eastAsia" w:asciiTheme="minorEastAsia" w:hAnsiTheme="minorEastAsia" w:eastAsiaTheme="minorEastAsia"/>
                <w:kern w:val="0"/>
                <w:sz w:val="24"/>
                <w:szCs w:val="24"/>
              </w:rPr>
              <w:t>、</w:t>
            </w:r>
            <w:r>
              <w:rPr>
                <w:rFonts w:asciiTheme="minorEastAsia" w:hAnsiTheme="minorEastAsia" w:eastAsiaTheme="minorEastAsia"/>
                <w:kern w:val="0"/>
                <w:sz w:val="24"/>
                <w:szCs w:val="24"/>
              </w:rPr>
              <w:t>973计划课题</w:t>
            </w:r>
            <w:r>
              <w:rPr>
                <w:rFonts w:hint="eastAsia" w:asciiTheme="minorEastAsia" w:hAnsiTheme="minorEastAsia" w:eastAsiaTheme="minorEastAsia"/>
                <w:kern w:val="0"/>
                <w:sz w:val="24"/>
                <w:szCs w:val="24"/>
              </w:rPr>
              <w:t>1</w:t>
            </w:r>
            <w:r>
              <w:rPr>
                <w:rFonts w:asciiTheme="minorEastAsia" w:hAnsiTheme="minorEastAsia" w:eastAsiaTheme="minorEastAsia"/>
                <w:kern w:val="0"/>
                <w:sz w:val="24"/>
                <w:szCs w:val="24"/>
              </w:rPr>
              <w:t>项；承担教育部创新团队项目1项并于</w:t>
            </w:r>
            <w:r>
              <w:rPr>
                <w:rFonts w:hint="eastAsia" w:asciiTheme="minorEastAsia" w:hAnsiTheme="minorEastAsia" w:eastAsiaTheme="minorEastAsia"/>
                <w:kern w:val="0"/>
                <w:sz w:val="24"/>
                <w:szCs w:val="24"/>
              </w:rPr>
              <w:t>2016年</w:t>
            </w:r>
            <w:r>
              <w:rPr>
                <w:rFonts w:asciiTheme="minorEastAsia" w:hAnsiTheme="minorEastAsia" w:eastAsiaTheme="minorEastAsia"/>
                <w:kern w:val="0"/>
                <w:sz w:val="24"/>
                <w:szCs w:val="24"/>
              </w:rPr>
              <w:t>获滚动支持；承担省部级项目</w:t>
            </w:r>
            <w:r>
              <w:rPr>
                <w:rFonts w:hint="eastAsia" w:asciiTheme="minorEastAsia" w:hAnsiTheme="minorEastAsia" w:eastAsiaTheme="minorEastAsia"/>
                <w:kern w:val="0"/>
                <w:sz w:val="24"/>
                <w:szCs w:val="24"/>
              </w:rPr>
              <w:t>79项；横向科研项目5项；国际合作项目3项。2014-2018年期间，实验室新增科研项目159</w:t>
            </w:r>
            <w:r>
              <w:rPr>
                <w:rFonts w:asciiTheme="minorEastAsia" w:hAnsiTheme="minorEastAsia" w:eastAsiaTheme="minorEastAsia"/>
                <w:kern w:val="0"/>
                <w:sz w:val="24"/>
                <w:szCs w:val="24"/>
              </w:rPr>
              <w:t>项，合同总经费合计</w:t>
            </w:r>
            <w:r>
              <w:rPr>
                <w:rFonts w:hint="eastAsia" w:asciiTheme="minorEastAsia" w:hAnsiTheme="minorEastAsia" w:eastAsiaTheme="minorEastAsia"/>
                <w:kern w:val="0"/>
                <w:sz w:val="24"/>
                <w:szCs w:val="24"/>
              </w:rPr>
              <w:t>7769</w:t>
            </w:r>
            <w:r>
              <w:rPr>
                <w:rFonts w:asciiTheme="minorEastAsia" w:hAnsiTheme="minorEastAsia" w:eastAsiaTheme="minorEastAsia"/>
                <w:kern w:val="0"/>
                <w:sz w:val="24"/>
                <w:szCs w:val="24"/>
              </w:rPr>
              <w:t>万元，包含国家级项目</w:t>
            </w:r>
            <w:r>
              <w:rPr>
                <w:rFonts w:hint="eastAsia" w:asciiTheme="minorEastAsia" w:hAnsiTheme="minorEastAsia" w:eastAsiaTheme="minorEastAsia"/>
                <w:kern w:val="0"/>
                <w:sz w:val="24"/>
                <w:szCs w:val="24"/>
              </w:rPr>
              <w:t>55项（经费合计3223万元）。</w:t>
            </w:r>
            <w:r>
              <w:rPr>
                <w:rFonts w:asciiTheme="minorEastAsia" w:hAnsiTheme="minorEastAsia" w:eastAsiaTheme="minorEastAsia"/>
                <w:kern w:val="0"/>
                <w:sz w:val="24"/>
                <w:szCs w:val="24"/>
              </w:rPr>
              <w:t>随着实验室平台建设的完善，研究成果的产出，及其国内外的影响力的不断提升，实验室</w:t>
            </w:r>
            <w:r>
              <w:rPr>
                <w:rFonts w:hint="eastAsia" w:asciiTheme="minorEastAsia" w:hAnsiTheme="minorEastAsia" w:eastAsiaTheme="minorEastAsia"/>
                <w:kern w:val="0"/>
                <w:sz w:val="24"/>
                <w:szCs w:val="24"/>
              </w:rPr>
              <w:t>具备了承担广西乃至国家重大科技攻关任务的能力。</w:t>
            </w:r>
          </w:p>
          <w:p>
            <w:pPr>
              <w:adjustRightInd w:val="0"/>
              <w:snapToGrid w:val="0"/>
              <w:spacing w:before="156" w:beforeLines="50" w:line="360" w:lineRule="auto"/>
              <w:ind w:firstLine="480"/>
              <w:rPr>
                <w:rFonts w:asciiTheme="minorEastAsia" w:hAnsiTheme="minorEastAsia" w:eastAsiaTheme="minorEastAsia"/>
                <w:kern w:val="0"/>
                <w:sz w:val="24"/>
                <w:szCs w:val="24"/>
              </w:rPr>
            </w:pPr>
          </w:p>
          <w:p>
            <w:pPr>
              <w:adjustRightInd w:val="0"/>
              <w:snapToGrid w:val="0"/>
              <w:spacing w:before="156" w:beforeLines="50" w:line="360" w:lineRule="auto"/>
              <w:ind w:firstLine="480"/>
              <w:rPr>
                <w:rFonts w:asciiTheme="minorEastAsia" w:hAnsiTheme="minorEastAsia" w:eastAsiaTheme="minorEastAsia"/>
                <w:sz w:val="24"/>
                <w:szCs w:val="24"/>
              </w:rPr>
            </w:pPr>
          </w:p>
        </w:tc>
      </w:tr>
    </w:tbl>
    <w:p>
      <w:pPr>
        <w:adjustRightInd w:val="0"/>
        <w:snapToGrid w:val="0"/>
        <w:spacing w:line="360" w:lineRule="auto"/>
        <w:rPr>
          <w:rFonts w:eastAsia="楷体_GB2312"/>
          <w:sz w:val="28"/>
          <w:szCs w:val="24"/>
        </w:rPr>
      </w:pPr>
    </w:p>
    <w:p>
      <w:pPr>
        <w:widowControl/>
        <w:jc w:val="left"/>
        <w:rPr>
          <w:rFonts w:eastAsia="楷体_GB2312"/>
          <w:sz w:val="28"/>
          <w:szCs w:val="24"/>
        </w:rPr>
      </w:pPr>
      <w:r>
        <w:rPr>
          <w:rFonts w:eastAsia="楷体_GB2312"/>
          <w:sz w:val="28"/>
          <w:szCs w:val="24"/>
        </w:rPr>
        <w:br w:type="page"/>
      </w:r>
    </w:p>
    <w:p>
      <w:pPr>
        <w:adjustRightInd w:val="0"/>
        <w:snapToGrid w:val="0"/>
        <w:ind w:firstLine="560" w:firstLineChars="200"/>
        <w:rPr>
          <w:rFonts w:eastAsia="楷体_GB2312"/>
          <w:sz w:val="28"/>
          <w:szCs w:val="24"/>
        </w:rPr>
      </w:pPr>
      <w:r>
        <w:rPr>
          <w:rFonts w:eastAsia="楷体_GB2312"/>
          <w:sz w:val="28"/>
          <w:szCs w:val="24"/>
        </w:rPr>
        <w:t>请选择主要的25项重点任务填写以下信息：</w:t>
      </w:r>
    </w:p>
    <w:tbl>
      <w:tblPr>
        <w:tblStyle w:val="15"/>
        <w:tblW w:w="8979"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
      <w:tblGrid>
        <w:gridCol w:w="519"/>
        <w:gridCol w:w="2807"/>
        <w:gridCol w:w="1286"/>
        <w:gridCol w:w="955"/>
        <w:gridCol w:w="901"/>
        <w:gridCol w:w="712"/>
        <w:gridCol w:w="179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adjustRightInd w:val="0"/>
              <w:snapToGrid w:val="0"/>
              <w:jc w:val="center"/>
              <w:rPr>
                <w:rFonts w:eastAsiaTheme="minorEastAsia"/>
                <w:b/>
                <w:szCs w:val="21"/>
              </w:rPr>
            </w:pPr>
            <w:r>
              <w:rPr>
                <w:rFonts w:eastAsiaTheme="minorEastAsia"/>
                <w:b/>
                <w:szCs w:val="21"/>
              </w:rPr>
              <w:t>序号</w:t>
            </w:r>
          </w:p>
        </w:tc>
        <w:tc>
          <w:tcPr>
            <w:tcW w:w="2807" w:type="dxa"/>
            <w:vAlign w:val="center"/>
          </w:tcPr>
          <w:p>
            <w:pPr>
              <w:adjustRightInd w:val="0"/>
              <w:snapToGrid w:val="0"/>
              <w:jc w:val="center"/>
              <w:rPr>
                <w:rFonts w:eastAsiaTheme="minorEastAsia"/>
                <w:b/>
                <w:szCs w:val="21"/>
              </w:rPr>
            </w:pPr>
            <w:r>
              <w:rPr>
                <w:rFonts w:eastAsiaTheme="minorEastAsia"/>
                <w:b/>
                <w:szCs w:val="21"/>
              </w:rPr>
              <w:t>项目/课题名称</w:t>
            </w:r>
          </w:p>
        </w:tc>
        <w:tc>
          <w:tcPr>
            <w:tcW w:w="1286" w:type="dxa"/>
            <w:vAlign w:val="center"/>
          </w:tcPr>
          <w:p>
            <w:pPr>
              <w:adjustRightInd w:val="0"/>
              <w:snapToGrid w:val="0"/>
              <w:jc w:val="center"/>
              <w:rPr>
                <w:rFonts w:eastAsiaTheme="minorEastAsia"/>
                <w:b/>
                <w:szCs w:val="21"/>
              </w:rPr>
            </w:pPr>
            <w:r>
              <w:rPr>
                <w:rFonts w:eastAsiaTheme="minorEastAsia"/>
                <w:b/>
                <w:szCs w:val="21"/>
              </w:rPr>
              <w:t>编号</w:t>
            </w:r>
          </w:p>
        </w:tc>
        <w:tc>
          <w:tcPr>
            <w:tcW w:w="955" w:type="dxa"/>
            <w:vAlign w:val="center"/>
          </w:tcPr>
          <w:p>
            <w:pPr>
              <w:adjustRightInd w:val="0"/>
              <w:snapToGrid w:val="0"/>
              <w:jc w:val="center"/>
              <w:rPr>
                <w:rFonts w:eastAsiaTheme="minorEastAsia"/>
                <w:b/>
                <w:szCs w:val="21"/>
              </w:rPr>
            </w:pPr>
            <w:r>
              <w:rPr>
                <w:rFonts w:eastAsiaTheme="minorEastAsia"/>
                <w:b/>
                <w:szCs w:val="21"/>
              </w:rPr>
              <w:t>负责人</w:t>
            </w:r>
          </w:p>
        </w:tc>
        <w:tc>
          <w:tcPr>
            <w:tcW w:w="901" w:type="dxa"/>
            <w:vAlign w:val="center"/>
          </w:tcPr>
          <w:p>
            <w:pPr>
              <w:adjustRightInd w:val="0"/>
              <w:snapToGrid w:val="0"/>
              <w:jc w:val="center"/>
              <w:rPr>
                <w:rFonts w:eastAsiaTheme="minorEastAsia"/>
                <w:b/>
                <w:szCs w:val="21"/>
              </w:rPr>
            </w:pPr>
            <w:r>
              <w:rPr>
                <w:rFonts w:eastAsiaTheme="minorEastAsia"/>
                <w:b/>
                <w:szCs w:val="21"/>
              </w:rPr>
              <w:t>起止</w:t>
            </w:r>
          </w:p>
          <w:p>
            <w:pPr>
              <w:adjustRightInd w:val="0"/>
              <w:snapToGrid w:val="0"/>
              <w:jc w:val="center"/>
              <w:rPr>
                <w:rFonts w:eastAsiaTheme="minorEastAsia"/>
                <w:b/>
                <w:szCs w:val="21"/>
              </w:rPr>
            </w:pPr>
            <w:r>
              <w:rPr>
                <w:rFonts w:eastAsiaTheme="minorEastAsia"/>
                <w:b/>
                <w:szCs w:val="21"/>
              </w:rPr>
              <w:t>时间</w:t>
            </w:r>
          </w:p>
        </w:tc>
        <w:tc>
          <w:tcPr>
            <w:tcW w:w="712" w:type="dxa"/>
            <w:vAlign w:val="center"/>
          </w:tcPr>
          <w:p>
            <w:pPr>
              <w:adjustRightInd w:val="0"/>
              <w:snapToGrid w:val="0"/>
              <w:jc w:val="center"/>
              <w:rPr>
                <w:rFonts w:eastAsiaTheme="minorEastAsia"/>
                <w:b/>
                <w:szCs w:val="21"/>
              </w:rPr>
            </w:pPr>
            <w:r>
              <w:rPr>
                <w:rFonts w:eastAsiaTheme="minorEastAsia"/>
                <w:b/>
                <w:szCs w:val="21"/>
              </w:rPr>
              <w:t>经费(万元)</w:t>
            </w:r>
          </w:p>
        </w:tc>
        <w:tc>
          <w:tcPr>
            <w:tcW w:w="1799" w:type="dxa"/>
            <w:vAlign w:val="center"/>
          </w:tcPr>
          <w:p>
            <w:pPr>
              <w:adjustRightInd w:val="0"/>
              <w:snapToGrid w:val="0"/>
              <w:jc w:val="center"/>
              <w:rPr>
                <w:rFonts w:eastAsiaTheme="minorEastAsia"/>
                <w:b/>
                <w:szCs w:val="21"/>
              </w:rPr>
            </w:pPr>
            <w:r>
              <w:rPr>
                <w:rFonts w:eastAsiaTheme="minorEastAsia"/>
                <w:b/>
                <w:szCs w:val="21"/>
              </w:rPr>
              <w:t>类别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273" w:rightChars="-130" w:hanging="356" w:firstLineChars="0"/>
              <w:jc w:val="center"/>
              <w:rPr>
                <w:rFonts w:eastAsiaTheme="minorEastAsia"/>
                <w:szCs w:val="21"/>
              </w:rPr>
            </w:pPr>
          </w:p>
        </w:tc>
        <w:tc>
          <w:tcPr>
            <w:tcW w:w="2807" w:type="dxa"/>
            <w:vAlign w:val="center"/>
          </w:tcPr>
          <w:p>
            <w:pPr>
              <w:ind w:left="-92" w:leftChars="-44" w:firstLine="92" w:firstLineChars="44"/>
              <w:rPr>
                <w:rFonts w:eastAsiaTheme="minorEastAsia"/>
                <w:kern w:val="0"/>
                <w:szCs w:val="21"/>
              </w:rPr>
            </w:pPr>
            <w:r>
              <w:rPr>
                <w:rFonts w:hint="eastAsia" w:eastAsiaTheme="minorEastAsia"/>
                <w:kern w:val="0"/>
                <w:szCs w:val="21"/>
              </w:rPr>
              <w:t>基于中药活性成分金属抗肿瘤配合物研究和天然环肽类潜药的化学组装与活性评价</w:t>
            </w:r>
          </w:p>
        </w:tc>
        <w:tc>
          <w:tcPr>
            <w:tcW w:w="1286" w:type="dxa"/>
            <w:vAlign w:val="center"/>
          </w:tcPr>
          <w:p>
            <w:pPr>
              <w:jc w:val="center"/>
              <w:rPr>
                <w:rFonts w:eastAsiaTheme="minorEastAsia"/>
                <w:kern w:val="0"/>
                <w:szCs w:val="21"/>
              </w:rPr>
            </w:pPr>
            <w:r>
              <w:rPr>
                <w:rFonts w:eastAsiaTheme="minorEastAsia"/>
                <w:kern w:val="0"/>
                <w:szCs w:val="21"/>
              </w:rPr>
              <w:t>2012CB723501</w:t>
            </w:r>
          </w:p>
        </w:tc>
        <w:tc>
          <w:tcPr>
            <w:tcW w:w="955" w:type="dxa"/>
            <w:vAlign w:val="center"/>
          </w:tcPr>
          <w:p>
            <w:pPr>
              <w:jc w:val="center"/>
              <w:rPr>
                <w:rFonts w:eastAsiaTheme="minorEastAsia"/>
                <w:kern w:val="0"/>
                <w:szCs w:val="21"/>
              </w:rPr>
            </w:pPr>
            <w:r>
              <w:rPr>
                <w:rFonts w:eastAsiaTheme="minorEastAsia"/>
                <w:szCs w:val="21"/>
              </w:rPr>
              <w:t>梁宏</w:t>
            </w:r>
          </w:p>
        </w:tc>
        <w:tc>
          <w:tcPr>
            <w:tcW w:w="901" w:type="dxa"/>
            <w:vAlign w:val="center"/>
          </w:tcPr>
          <w:p>
            <w:pPr>
              <w:jc w:val="center"/>
              <w:rPr>
                <w:rFonts w:eastAsiaTheme="minorEastAsia"/>
                <w:szCs w:val="21"/>
              </w:rPr>
            </w:pPr>
            <w:r>
              <w:rPr>
                <w:rFonts w:hint="eastAsia" w:eastAsiaTheme="minorEastAsia"/>
                <w:szCs w:val="21"/>
              </w:rPr>
              <w:t>2012.01-2015.12</w:t>
            </w:r>
          </w:p>
        </w:tc>
        <w:tc>
          <w:tcPr>
            <w:tcW w:w="712" w:type="dxa"/>
            <w:vAlign w:val="center"/>
          </w:tcPr>
          <w:p>
            <w:pPr>
              <w:jc w:val="center"/>
              <w:rPr>
                <w:rFonts w:eastAsiaTheme="minorEastAsia"/>
                <w:kern w:val="0"/>
                <w:szCs w:val="21"/>
              </w:rPr>
            </w:pPr>
            <w:r>
              <w:rPr>
                <w:rFonts w:hint="eastAsia" w:eastAsiaTheme="minorEastAsia"/>
                <w:kern w:val="0"/>
                <w:szCs w:val="21"/>
              </w:rPr>
              <w:t>255</w:t>
            </w:r>
          </w:p>
        </w:tc>
        <w:tc>
          <w:tcPr>
            <w:tcW w:w="1799" w:type="dxa"/>
            <w:vAlign w:val="center"/>
          </w:tcPr>
          <w:p>
            <w:pPr>
              <w:rPr>
                <w:rFonts w:eastAsiaTheme="minorEastAsia"/>
                <w:kern w:val="0"/>
                <w:szCs w:val="21"/>
              </w:rPr>
            </w:pPr>
            <w:r>
              <w:rPr>
                <w:rFonts w:hint="eastAsia" w:eastAsiaTheme="minorEastAsia"/>
                <w:kern w:val="0"/>
                <w:szCs w:val="21"/>
              </w:rPr>
              <w:t>国家重点研究发展计划（973）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273" w:rightChars="-130" w:hanging="356" w:firstLineChars="0"/>
              <w:jc w:val="center"/>
              <w:rPr>
                <w:rFonts w:eastAsiaTheme="minorEastAsia"/>
                <w:szCs w:val="21"/>
              </w:rPr>
            </w:pPr>
          </w:p>
        </w:tc>
        <w:tc>
          <w:tcPr>
            <w:tcW w:w="2807" w:type="dxa"/>
            <w:vAlign w:val="center"/>
          </w:tcPr>
          <w:p>
            <w:pPr>
              <w:ind w:left="-92" w:leftChars="-44" w:firstLine="92" w:firstLineChars="44"/>
              <w:rPr>
                <w:rFonts w:eastAsiaTheme="minorEastAsia"/>
                <w:kern w:val="0"/>
                <w:szCs w:val="21"/>
              </w:rPr>
            </w:pPr>
            <w:r>
              <w:rPr>
                <w:rFonts w:eastAsiaTheme="minorEastAsia"/>
                <w:szCs w:val="21"/>
              </w:rPr>
              <w:t>基于中药活性成分金属抗肿瘤配合物研究</w:t>
            </w:r>
          </w:p>
        </w:tc>
        <w:tc>
          <w:tcPr>
            <w:tcW w:w="1286" w:type="dxa"/>
            <w:vAlign w:val="center"/>
          </w:tcPr>
          <w:p>
            <w:pPr>
              <w:jc w:val="center"/>
              <w:rPr>
                <w:rFonts w:eastAsiaTheme="minorEastAsia"/>
                <w:kern w:val="0"/>
                <w:szCs w:val="21"/>
              </w:rPr>
            </w:pPr>
            <w:r>
              <w:rPr>
                <w:rFonts w:eastAsiaTheme="minorEastAsia"/>
                <w:szCs w:val="21"/>
              </w:rPr>
              <w:t>21431001</w:t>
            </w:r>
          </w:p>
        </w:tc>
        <w:tc>
          <w:tcPr>
            <w:tcW w:w="955" w:type="dxa"/>
            <w:vAlign w:val="center"/>
          </w:tcPr>
          <w:p>
            <w:pPr>
              <w:jc w:val="center"/>
              <w:rPr>
                <w:rFonts w:eastAsiaTheme="minorEastAsia"/>
                <w:kern w:val="0"/>
                <w:szCs w:val="21"/>
              </w:rPr>
            </w:pPr>
            <w:r>
              <w:rPr>
                <w:rFonts w:eastAsiaTheme="minorEastAsia"/>
                <w:szCs w:val="21"/>
              </w:rPr>
              <w:t>梁宏</w:t>
            </w:r>
          </w:p>
        </w:tc>
        <w:tc>
          <w:tcPr>
            <w:tcW w:w="901" w:type="dxa"/>
            <w:vAlign w:val="center"/>
          </w:tcPr>
          <w:p>
            <w:pPr>
              <w:jc w:val="center"/>
              <w:rPr>
                <w:rFonts w:eastAsiaTheme="minorEastAsia"/>
                <w:szCs w:val="21"/>
              </w:rPr>
            </w:pPr>
            <w:r>
              <w:rPr>
                <w:rFonts w:eastAsiaTheme="minorEastAsia"/>
                <w:szCs w:val="21"/>
              </w:rPr>
              <w:t>2015</w:t>
            </w:r>
            <w:r>
              <w:rPr>
                <w:rFonts w:hint="eastAsia" w:eastAsiaTheme="minorEastAsia"/>
                <w:szCs w:val="21"/>
              </w:rPr>
              <w:t>.</w:t>
            </w:r>
            <w:r>
              <w:rPr>
                <w:rFonts w:eastAsiaTheme="minorEastAsia"/>
                <w:szCs w:val="21"/>
              </w:rPr>
              <w:t>01-201</w:t>
            </w:r>
            <w:r>
              <w:rPr>
                <w:rFonts w:hint="eastAsia" w:eastAsiaTheme="minorEastAsia"/>
                <w:szCs w:val="21"/>
              </w:rPr>
              <w:t>9.</w:t>
            </w:r>
            <w:r>
              <w:rPr>
                <w:rFonts w:eastAsiaTheme="minorEastAsia"/>
                <w:szCs w:val="21"/>
              </w:rPr>
              <w:t>12</w:t>
            </w:r>
          </w:p>
        </w:tc>
        <w:tc>
          <w:tcPr>
            <w:tcW w:w="712" w:type="dxa"/>
            <w:vAlign w:val="center"/>
          </w:tcPr>
          <w:p>
            <w:pPr>
              <w:jc w:val="center"/>
              <w:rPr>
                <w:rFonts w:eastAsiaTheme="minorEastAsia"/>
                <w:kern w:val="0"/>
                <w:szCs w:val="21"/>
              </w:rPr>
            </w:pPr>
            <w:r>
              <w:rPr>
                <w:rFonts w:eastAsiaTheme="minorEastAsia"/>
                <w:szCs w:val="21"/>
              </w:rPr>
              <w:t>360</w:t>
            </w:r>
          </w:p>
        </w:tc>
        <w:tc>
          <w:tcPr>
            <w:tcW w:w="1799" w:type="dxa"/>
            <w:vAlign w:val="center"/>
          </w:tcPr>
          <w:p>
            <w:pPr>
              <w:rPr>
                <w:rFonts w:eastAsiaTheme="minorEastAsia"/>
                <w:kern w:val="0"/>
                <w:szCs w:val="21"/>
              </w:rPr>
            </w:pPr>
            <w:r>
              <w:rPr>
                <w:rFonts w:eastAsiaTheme="minorEastAsia"/>
                <w:szCs w:val="21"/>
              </w:rPr>
              <w:t>国家自然科学基金重点项目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273" w:rightChars="-130" w:hanging="356" w:firstLineChars="0"/>
              <w:jc w:val="center"/>
              <w:rPr>
                <w:rFonts w:eastAsiaTheme="minorEastAsia"/>
                <w:szCs w:val="21"/>
              </w:rPr>
            </w:pPr>
          </w:p>
        </w:tc>
        <w:tc>
          <w:tcPr>
            <w:tcW w:w="2807" w:type="dxa"/>
            <w:vAlign w:val="center"/>
          </w:tcPr>
          <w:p>
            <w:pPr>
              <w:rPr>
                <w:rFonts w:eastAsiaTheme="minorEastAsia"/>
                <w:szCs w:val="21"/>
              </w:rPr>
            </w:pPr>
            <w:r>
              <w:rPr>
                <w:rFonts w:eastAsiaTheme="minorEastAsia"/>
                <w:szCs w:val="21"/>
              </w:rPr>
              <w:t>溶液配位化学及功能配位化学</w:t>
            </w:r>
          </w:p>
        </w:tc>
        <w:tc>
          <w:tcPr>
            <w:tcW w:w="1286" w:type="dxa"/>
            <w:vAlign w:val="center"/>
          </w:tcPr>
          <w:p>
            <w:pPr>
              <w:jc w:val="center"/>
              <w:rPr>
                <w:rFonts w:eastAsiaTheme="minorEastAsia"/>
                <w:szCs w:val="21"/>
              </w:rPr>
            </w:pPr>
            <w:r>
              <w:rPr>
                <w:rFonts w:eastAsiaTheme="minorEastAsia"/>
                <w:szCs w:val="21"/>
              </w:rPr>
              <w:t>21431001</w:t>
            </w:r>
          </w:p>
        </w:tc>
        <w:tc>
          <w:tcPr>
            <w:tcW w:w="955" w:type="dxa"/>
            <w:vAlign w:val="center"/>
          </w:tcPr>
          <w:p>
            <w:pPr>
              <w:jc w:val="center"/>
              <w:rPr>
                <w:rFonts w:eastAsiaTheme="minorEastAsia"/>
                <w:szCs w:val="21"/>
              </w:rPr>
            </w:pPr>
            <w:r>
              <w:rPr>
                <w:rFonts w:eastAsiaTheme="minorEastAsia"/>
                <w:szCs w:val="21"/>
              </w:rPr>
              <w:t>曾明华</w:t>
            </w:r>
          </w:p>
        </w:tc>
        <w:tc>
          <w:tcPr>
            <w:tcW w:w="901" w:type="dxa"/>
            <w:vAlign w:val="center"/>
          </w:tcPr>
          <w:p>
            <w:pPr>
              <w:jc w:val="center"/>
              <w:rPr>
                <w:rFonts w:eastAsiaTheme="minorEastAsia"/>
                <w:szCs w:val="21"/>
              </w:rPr>
            </w:pPr>
            <w:r>
              <w:rPr>
                <w:rFonts w:eastAsiaTheme="minorEastAsia"/>
                <w:szCs w:val="21"/>
              </w:rPr>
              <w:t>2016</w:t>
            </w:r>
            <w:r>
              <w:rPr>
                <w:rFonts w:hint="eastAsia" w:eastAsiaTheme="minorEastAsia"/>
                <w:szCs w:val="21"/>
              </w:rPr>
              <w:t>.</w:t>
            </w:r>
            <w:r>
              <w:rPr>
                <w:rFonts w:eastAsiaTheme="minorEastAsia"/>
                <w:szCs w:val="21"/>
              </w:rPr>
              <w:t>01-2019</w:t>
            </w:r>
            <w:r>
              <w:rPr>
                <w:rFonts w:hint="eastAsia" w:eastAsiaTheme="minorEastAsia"/>
                <w:szCs w:val="21"/>
              </w:rPr>
              <w:t>.</w:t>
            </w:r>
            <w:r>
              <w:rPr>
                <w:rFonts w:eastAsiaTheme="minorEastAsia"/>
                <w:szCs w:val="21"/>
              </w:rPr>
              <w:t>12</w:t>
            </w:r>
          </w:p>
        </w:tc>
        <w:tc>
          <w:tcPr>
            <w:tcW w:w="712" w:type="dxa"/>
            <w:vAlign w:val="center"/>
          </w:tcPr>
          <w:p>
            <w:pPr>
              <w:ind w:left="-69" w:leftChars="-33" w:right="-141" w:rightChars="-67"/>
              <w:jc w:val="center"/>
              <w:rPr>
                <w:rFonts w:eastAsiaTheme="minorEastAsia"/>
                <w:szCs w:val="21"/>
              </w:rPr>
            </w:pPr>
            <w:r>
              <w:rPr>
                <w:rFonts w:eastAsiaTheme="minorEastAsia"/>
                <w:szCs w:val="21"/>
              </w:rPr>
              <w:t>400</w:t>
            </w:r>
          </w:p>
        </w:tc>
        <w:tc>
          <w:tcPr>
            <w:tcW w:w="1799" w:type="dxa"/>
            <w:vAlign w:val="center"/>
          </w:tcPr>
          <w:p>
            <w:pPr>
              <w:rPr>
                <w:rFonts w:eastAsiaTheme="minorEastAsia"/>
                <w:szCs w:val="21"/>
              </w:rPr>
            </w:pPr>
            <w:r>
              <w:rPr>
                <w:rFonts w:eastAsiaTheme="minorEastAsia"/>
                <w:szCs w:val="21"/>
              </w:rPr>
              <w:t>国家自然科学基金杰出青年科学基金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273" w:rightChars="-130" w:hanging="356" w:firstLineChars="0"/>
              <w:jc w:val="center"/>
              <w:rPr>
                <w:rFonts w:eastAsiaTheme="minorEastAsia"/>
                <w:szCs w:val="21"/>
              </w:rPr>
            </w:pPr>
          </w:p>
        </w:tc>
        <w:tc>
          <w:tcPr>
            <w:tcW w:w="2807" w:type="dxa"/>
            <w:vAlign w:val="center"/>
          </w:tcPr>
          <w:p>
            <w:pPr>
              <w:rPr>
                <w:rFonts w:eastAsiaTheme="minorEastAsia"/>
                <w:szCs w:val="21"/>
              </w:rPr>
            </w:pPr>
            <w:r>
              <w:rPr>
                <w:rFonts w:hint="eastAsia" w:eastAsiaTheme="minorEastAsia"/>
                <w:szCs w:val="21"/>
              </w:rPr>
              <w:t>一种多检测模式多功能的微流控芯片单细胞分析仪的研制</w:t>
            </w:r>
          </w:p>
        </w:tc>
        <w:tc>
          <w:tcPr>
            <w:tcW w:w="1286" w:type="dxa"/>
            <w:vAlign w:val="center"/>
          </w:tcPr>
          <w:p>
            <w:pPr>
              <w:adjustRightInd w:val="0"/>
              <w:snapToGrid w:val="0"/>
              <w:jc w:val="center"/>
              <w:rPr>
                <w:rFonts w:eastAsiaTheme="minorEastAsia"/>
                <w:szCs w:val="21"/>
              </w:rPr>
            </w:pPr>
            <w:r>
              <w:rPr>
                <w:rFonts w:eastAsiaTheme="minorEastAsia"/>
                <w:szCs w:val="21"/>
              </w:rPr>
              <w:t>21327007</w:t>
            </w:r>
          </w:p>
        </w:tc>
        <w:tc>
          <w:tcPr>
            <w:tcW w:w="955" w:type="dxa"/>
            <w:vAlign w:val="center"/>
          </w:tcPr>
          <w:p>
            <w:pPr>
              <w:adjustRightInd w:val="0"/>
              <w:snapToGrid w:val="0"/>
              <w:jc w:val="center"/>
              <w:rPr>
                <w:rFonts w:eastAsiaTheme="minorEastAsia"/>
                <w:szCs w:val="21"/>
              </w:rPr>
            </w:pPr>
            <w:r>
              <w:rPr>
                <w:rFonts w:eastAsiaTheme="minorEastAsia"/>
                <w:szCs w:val="21"/>
              </w:rPr>
              <w:t>赵书林</w:t>
            </w:r>
          </w:p>
        </w:tc>
        <w:tc>
          <w:tcPr>
            <w:tcW w:w="901" w:type="dxa"/>
            <w:vAlign w:val="center"/>
          </w:tcPr>
          <w:p>
            <w:pPr>
              <w:adjustRightInd w:val="0"/>
              <w:snapToGrid w:val="0"/>
              <w:jc w:val="center"/>
              <w:rPr>
                <w:rFonts w:eastAsiaTheme="minorEastAsia"/>
                <w:szCs w:val="21"/>
              </w:rPr>
            </w:pPr>
            <w:r>
              <w:rPr>
                <w:rFonts w:eastAsiaTheme="minorEastAsia"/>
                <w:szCs w:val="21"/>
              </w:rPr>
              <w:t>201</w:t>
            </w:r>
            <w:r>
              <w:rPr>
                <w:rFonts w:hint="eastAsia" w:eastAsiaTheme="minorEastAsia"/>
                <w:szCs w:val="21"/>
              </w:rPr>
              <w:t>4.</w:t>
            </w:r>
            <w:r>
              <w:rPr>
                <w:rFonts w:eastAsiaTheme="minorEastAsia"/>
                <w:szCs w:val="21"/>
              </w:rPr>
              <w:t>01-201</w:t>
            </w:r>
            <w:r>
              <w:rPr>
                <w:rFonts w:hint="eastAsia" w:eastAsiaTheme="minorEastAsia"/>
                <w:szCs w:val="21"/>
              </w:rPr>
              <w:t>7.</w:t>
            </w:r>
            <w:r>
              <w:rPr>
                <w:rFonts w:eastAsiaTheme="minorEastAsia"/>
                <w:szCs w:val="21"/>
              </w:rPr>
              <w:t>12</w:t>
            </w:r>
          </w:p>
        </w:tc>
        <w:tc>
          <w:tcPr>
            <w:tcW w:w="712" w:type="dxa"/>
            <w:vAlign w:val="center"/>
          </w:tcPr>
          <w:p>
            <w:pPr>
              <w:adjustRightInd w:val="0"/>
              <w:snapToGrid w:val="0"/>
              <w:jc w:val="center"/>
              <w:rPr>
                <w:rFonts w:eastAsiaTheme="minorEastAsia"/>
                <w:szCs w:val="21"/>
              </w:rPr>
            </w:pPr>
            <w:r>
              <w:rPr>
                <w:rFonts w:hint="eastAsia" w:eastAsiaTheme="minorEastAsia"/>
                <w:szCs w:val="21"/>
              </w:rPr>
              <w:t>300</w:t>
            </w:r>
          </w:p>
        </w:tc>
        <w:tc>
          <w:tcPr>
            <w:tcW w:w="1799" w:type="dxa"/>
            <w:vAlign w:val="center"/>
          </w:tcPr>
          <w:p>
            <w:pPr>
              <w:adjustRightInd w:val="0"/>
              <w:snapToGrid w:val="0"/>
              <w:rPr>
                <w:rFonts w:eastAsiaTheme="minorEastAsia"/>
                <w:szCs w:val="21"/>
              </w:rPr>
            </w:pPr>
            <w:r>
              <w:rPr>
                <w:rFonts w:eastAsiaTheme="minorEastAsia"/>
                <w:szCs w:val="21"/>
              </w:rPr>
              <w:t>国家自然科学基金仪器专项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273" w:rightChars="-130" w:hanging="356" w:firstLineChars="0"/>
              <w:jc w:val="center"/>
              <w:rPr>
                <w:rFonts w:eastAsiaTheme="minorEastAsia"/>
                <w:szCs w:val="21"/>
              </w:rPr>
            </w:pPr>
          </w:p>
        </w:tc>
        <w:tc>
          <w:tcPr>
            <w:tcW w:w="2807" w:type="dxa"/>
            <w:vAlign w:val="center"/>
          </w:tcPr>
          <w:p>
            <w:pPr>
              <w:rPr>
                <w:rFonts w:eastAsiaTheme="minorEastAsia"/>
                <w:szCs w:val="21"/>
              </w:rPr>
            </w:pPr>
            <w:r>
              <w:rPr>
                <w:rFonts w:hint="eastAsia" w:eastAsiaTheme="minorEastAsia"/>
                <w:szCs w:val="21"/>
              </w:rPr>
              <w:t>雌激素靶向配体调控的高活性卤代喹啉-镧系系列抗肿瘤配合物</w:t>
            </w:r>
          </w:p>
        </w:tc>
        <w:tc>
          <w:tcPr>
            <w:tcW w:w="1286" w:type="dxa"/>
            <w:vAlign w:val="center"/>
          </w:tcPr>
          <w:p>
            <w:pPr>
              <w:jc w:val="center"/>
              <w:rPr>
                <w:rFonts w:eastAsiaTheme="minorEastAsia"/>
                <w:szCs w:val="21"/>
              </w:rPr>
            </w:pPr>
            <w:r>
              <w:rPr>
                <w:rFonts w:eastAsiaTheme="minorEastAsia"/>
                <w:szCs w:val="21"/>
              </w:rPr>
              <w:t>21373063</w:t>
            </w:r>
          </w:p>
        </w:tc>
        <w:tc>
          <w:tcPr>
            <w:tcW w:w="955" w:type="dxa"/>
            <w:vAlign w:val="center"/>
          </w:tcPr>
          <w:p>
            <w:pPr>
              <w:jc w:val="center"/>
              <w:rPr>
                <w:rFonts w:eastAsiaTheme="minorEastAsia"/>
                <w:szCs w:val="21"/>
              </w:rPr>
            </w:pPr>
            <w:r>
              <w:rPr>
                <w:szCs w:val="21"/>
              </w:rPr>
              <w:t>陈振锋</w:t>
            </w:r>
          </w:p>
        </w:tc>
        <w:tc>
          <w:tcPr>
            <w:tcW w:w="901" w:type="dxa"/>
            <w:vAlign w:val="center"/>
          </w:tcPr>
          <w:p>
            <w:pPr>
              <w:jc w:val="center"/>
              <w:rPr>
                <w:rFonts w:eastAsiaTheme="minorEastAsia"/>
                <w:szCs w:val="21"/>
              </w:rPr>
            </w:pPr>
            <w:r>
              <w:rPr>
                <w:rFonts w:eastAsiaTheme="minorEastAsia"/>
                <w:szCs w:val="21"/>
              </w:rPr>
              <w:t>2013</w:t>
            </w:r>
            <w:r>
              <w:rPr>
                <w:rFonts w:hint="eastAsia" w:eastAsiaTheme="minorEastAsia"/>
                <w:szCs w:val="21"/>
              </w:rPr>
              <w:t>.</w:t>
            </w:r>
            <w:r>
              <w:rPr>
                <w:rFonts w:eastAsiaTheme="minorEastAsia"/>
                <w:szCs w:val="21"/>
              </w:rPr>
              <w:t>01-2016</w:t>
            </w:r>
            <w:r>
              <w:rPr>
                <w:rFonts w:hint="eastAsia" w:eastAsiaTheme="minorEastAsia"/>
                <w:szCs w:val="21"/>
              </w:rPr>
              <w:t>.</w:t>
            </w:r>
            <w:r>
              <w:rPr>
                <w:rFonts w:eastAsiaTheme="minorEastAsia"/>
                <w:szCs w:val="21"/>
              </w:rPr>
              <w:t>12</w:t>
            </w:r>
          </w:p>
        </w:tc>
        <w:tc>
          <w:tcPr>
            <w:tcW w:w="712" w:type="dxa"/>
            <w:vAlign w:val="center"/>
          </w:tcPr>
          <w:p>
            <w:pPr>
              <w:jc w:val="center"/>
              <w:rPr>
                <w:szCs w:val="21"/>
              </w:rPr>
            </w:pPr>
            <w:r>
              <w:rPr>
                <w:szCs w:val="21"/>
              </w:rPr>
              <w:t>78</w:t>
            </w:r>
          </w:p>
        </w:tc>
        <w:tc>
          <w:tcPr>
            <w:tcW w:w="1799" w:type="dxa"/>
            <w:vAlign w:val="center"/>
          </w:tcPr>
          <w:p>
            <w:pPr>
              <w:rPr>
                <w:rFonts w:eastAsiaTheme="minorEastAsia"/>
                <w:szCs w:val="21"/>
              </w:rPr>
            </w:pPr>
            <w:r>
              <w:rPr>
                <w:rFonts w:eastAsiaTheme="minorEastAsia"/>
                <w:szCs w:val="21"/>
              </w:rPr>
              <w:t>国家自然科学基金面上项目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273" w:rightChars="-130" w:hanging="356" w:firstLineChars="0"/>
              <w:jc w:val="center"/>
              <w:rPr>
                <w:rFonts w:eastAsiaTheme="minorEastAsia"/>
                <w:szCs w:val="21"/>
              </w:rPr>
            </w:pPr>
          </w:p>
        </w:tc>
        <w:tc>
          <w:tcPr>
            <w:tcW w:w="2807" w:type="dxa"/>
            <w:vAlign w:val="center"/>
          </w:tcPr>
          <w:p>
            <w:pPr>
              <w:rPr>
                <w:rFonts w:eastAsiaTheme="minorEastAsia"/>
                <w:szCs w:val="21"/>
              </w:rPr>
            </w:pPr>
            <w:r>
              <w:rPr>
                <w:rFonts w:eastAsiaTheme="minorEastAsia"/>
                <w:szCs w:val="21"/>
              </w:rPr>
              <w:t>以G-四链体为靶点的平面型芳香生物碱-铂配合物小分子配体及其抗肿瘤活性研究</w:t>
            </w:r>
          </w:p>
        </w:tc>
        <w:tc>
          <w:tcPr>
            <w:tcW w:w="1286" w:type="dxa"/>
            <w:vAlign w:val="center"/>
          </w:tcPr>
          <w:p>
            <w:pPr>
              <w:adjustRightInd w:val="0"/>
              <w:snapToGrid w:val="0"/>
              <w:jc w:val="center"/>
              <w:rPr>
                <w:rFonts w:eastAsiaTheme="minorEastAsia"/>
                <w:szCs w:val="21"/>
              </w:rPr>
            </w:pPr>
            <w:r>
              <w:rPr>
                <w:rFonts w:eastAsiaTheme="minorEastAsia"/>
                <w:szCs w:val="21"/>
              </w:rPr>
              <w:t>81473102</w:t>
            </w:r>
          </w:p>
        </w:tc>
        <w:tc>
          <w:tcPr>
            <w:tcW w:w="955" w:type="dxa"/>
            <w:vAlign w:val="center"/>
          </w:tcPr>
          <w:p>
            <w:pPr>
              <w:adjustRightInd w:val="0"/>
              <w:snapToGrid w:val="0"/>
              <w:jc w:val="center"/>
              <w:rPr>
                <w:rFonts w:eastAsiaTheme="minorEastAsia"/>
                <w:szCs w:val="21"/>
              </w:rPr>
            </w:pPr>
            <w:r>
              <w:rPr>
                <w:rFonts w:eastAsiaTheme="minorEastAsia"/>
                <w:szCs w:val="21"/>
              </w:rPr>
              <w:t>陈振锋</w:t>
            </w:r>
          </w:p>
        </w:tc>
        <w:tc>
          <w:tcPr>
            <w:tcW w:w="901" w:type="dxa"/>
            <w:vAlign w:val="center"/>
          </w:tcPr>
          <w:p>
            <w:pPr>
              <w:adjustRightInd w:val="0"/>
              <w:snapToGrid w:val="0"/>
              <w:jc w:val="center"/>
              <w:rPr>
                <w:rFonts w:eastAsiaTheme="minorEastAsia"/>
                <w:szCs w:val="21"/>
              </w:rPr>
            </w:pPr>
            <w:r>
              <w:rPr>
                <w:rFonts w:eastAsiaTheme="minorEastAsia"/>
                <w:szCs w:val="21"/>
              </w:rPr>
              <w:t>2015</w:t>
            </w:r>
            <w:r>
              <w:rPr>
                <w:rFonts w:hint="eastAsia" w:eastAsiaTheme="minorEastAsia"/>
                <w:szCs w:val="21"/>
              </w:rPr>
              <w:t>.</w:t>
            </w:r>
            <w:r>
              <w:rPr>
                <w:rFonts w:eastAsiaTheme="minorEastAsia"/>
                <w:szCs w:val="21"/>
              </w:rPr>
              <w:t>01-2018</w:t>
            </w:r>
            <w:r>
              <w:rPr>
                <w:rFonts w:hint="eastAsia" w:eastAsiaTheme="minorEastAsia"/>
                <w:szCs w:val="21"/>
              </w:rPr>
              <w:t>.</w:t>
            </w:r>
            <w:r>
              <w:rPr>
                <w:rFonts w:eastAsiaTheme="minorEastAsia"/>
                <w:szCs w:val="21"/>
              </w:rPr>
              <w:t>12</w:t>
            </w:r>
          </w:p>
        </w:tc>
        <w:tc>
          <w:tcPr>
            <w:tcW w:w="712" w:type="dxa"/>
            <w:vAlign w:val="center"/>
          </w:tcPr>
          <w:p>
            <w:pPr>
              <w:adjustRightInd w:val="0"/>
              <w:snapToGrid w:val="0"/>
              <w:jc w:val="center"/>
              <w:rPr>
                <w:rFonts w:eastAsiaTheme="minorEastAsia"/>
                <w:szCs w:val="21"/>
              </w:rPr>
            </w:pPr>
            <w:r>
              <w:rPr>
                <w:rFonts w:eastAsiaTheme="minorEastAsia"/>
                <w:szCs w:val="21"/>
              </w:rPr>
              <w:t>60</w:t>
            </w:r>
          </w:p>
        </w:tc>
        <w:tc>
          <w:tcPr>
            <w:tcW w:w="1799" w:type="dxa"/>
            <w:vAlign w:val="center"/>
          </w:tcPr>
          <w:p>
            <w:pPr>
              <w:adjustRightInd w:val="0"/>
              <w:snapToGrid w:val="0"/>
              <w:rPr>
                <w:rFonts w:eastAsiaTheme="minorEastAsia"/>
                <w:szCs w:val="21"/>
              </w:rPr>
            </w:pPr>
            <w:r>
              <w:rPr>
                <w:rFonts w:eastAsiaTheme="minorEastAsia"/>
                <w:szCs w:val="21"/>
              </w:rPr>
              <w:t>国家自然科学基金面上项目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273" w:rightChars="-130" w:hanging="356" w:firstLineChars="0"/>
              <w:jc w:val="center"/>
              <w:rPr>
                <w:rFonts w:eastAsiaTheme="minorEastAsia"/>
                <w:szCs w:val="21"/>
              </w:rPr>
            </w:pPr>
          </w:p>
        </w:tc>
        <w:tc>
          <w:tcPr>
            <w:tcW w:w="2807" w:type="dxa"/>
            <w:vAlign w:val="center"/>
          </w:tcPr>
          <w:p>
            <w:pPr>
              <w:rPr>
                <w:rFonts w:eastAsiaTheme="minorEastAsia"/>
                <w:szCs w:val="21"/>
              </w:rPr>
            </w:pPr>
            <w:r>
              <w:rPr>
                <w:rFonts w:eastAsiaTheme="minorEastAsia"/>
                <w:szCs w:val="21"/>
              </w:rPr>
              <w:t>近红外和上转换发光掺杂碳基量子点的制备及在生物传感和成像中的应用</w:t>
            </w:r>
          </w:p>
        </w:tc>
        <w:tc>
          <w:tcPr>
            <w:tcW w:w="1286" w:type="dxa"/>
            <w:vAlign w:val="center"/>
          </w:tcPr>
          <w:p>
            <w:pPr>
              <w:jc w:val="center"/>
              <w:rPr>
                <w:rFonts w:eastAsiaTheme="minorEastAsia"/>
                <w:szCs w:val="21"/>
              </w:rPr>
            </w:pPr>
            <w:r>
              <w:rPr>
                <w:rFonts w:eastAsiaTheme="minorEastAsia"/>
                <w:szCs w:val="21"/>
              </w:rPr>
              <w:t>21575031</w:t>
            </w:r>
          </w:p>
        </w:tc>
        <w:tc>
          <w:tcPr>
            <w:tcW w:w="955" w:type="dxa"/>
            <w:vAlign w:val="center"/>
          </w:tcPr>
          <w:p>
            <w:pPr>
              <w:jc w:val="center"/>
              <w:rPr>
                <w:rFonts w:eastAsiaTheme="minorEastAsia"/>
                <w:szCs w:val="21"/>
              </w:rPr>
            </w:pPr>
            <w:r>
              <w:rPr>
                <w:rFonts w:eastAsiaTheme="minorEastAsia"/>
                <w:szCs w:val="21"/>
              </w:rPr>
              <w:t>赵书林</w:t>
            </w:r>
          </w:p>
        </w:tc>
        <w:tc>
          <w:tcPr>
            <w:tcW w:w="901" w:type="dxa"/>
            <w:vAlign w:val="center"/>
          </w:tcPr>
          <w:p>
            <w:pPr>
              <w:jc w:val="center"/>
              <w:rPr>
                <w:rFonts w:eastAsiaTheme="minorEastAsia"/>
                <w:szCs w:val="21"/>
              </w:rPr>
            </w:pPr>
            <w:r>
              <w:rPr>
                <w:rFonts w:eastAsiaTheme="minorEastAsia"/>
                <w:szCs w:val="21"/>
              </w:rPr>
              <w:t>2016</w:t>
            </w:r>
            <w:r>
              <w:rPr>
                <w:rFonts w:hint="eastAsia" w:eastAsiaTheme="minorEastAsia"/>
                <w:szCs w:val="21"/>
              </w:rPr>
              <w:t>.</w:t>
            </w:r>
            <w:r>
              <w:rPr>
                <w:rFonts w:eastAsiaTheme="minorEastAsia"/>
                <w:szCs w:val="21"/>
              </w:rPr>
              <w:t>01-2019</w:t>
            </w:r>
            <w:r>
              <w:rPr>
                <w:rFonts w:hint="eastAsia" w:eastAsiaTheme="minorEastAsia"/>
                <w:szCs w:val="21"/>
              </w:rPr>
              <w:t>.</w:t>
            </w:r>
            <w:r>
              <w:rPr>
                <w:rFonts w:eastAsiaTheme="minorEastAsia"/>
                <w:szCs w:val="21"/>
              </w:rPr>
              <w:t>12</w:t>
            </w:r>
          </w:p>
        </w:tc>
        <w:tc>
          <w:tcPr>
            <w:tcW w:w="712" w:type="dxa"/>
            <w:vAlign w:val="center"/>
          </w:tcPr>
          <w:p>
            <w:pPr>
              <w:ind w:left="-69" w:leftChars="-33" w:right="-141" w:rightChars="-67"/>
              <w:jc w:val="center"/>
              <w:rPr>
                <w:rFonts w:eastAsiaTheme="minorEastAsia"/>
                <w:szCs w:val="21"/>
              </w:rPr>
            </w:pPr>
            <w:r>
              <w:rPr>
                <w:rFonts w:eastAsiaTheme="minorEastAsia"/>
                <w:szCs w:val="21"/>
              </w:rPr>
              <w:t>92.64</w:t>
            </w:r>
          </w:p>
        </w:tc>
        <w:tc>
          <w:tcPr>
            <w:tcW w:w="1799" w:type="dxa"/>
            <w:vAlign w:val="center"/>
          </w:tcPr>
          <w:p>
            <w:pPr>
              <w:rPr>
                <w:rFonts w:eastAsiaTheme="minorEastAsia"/>
                <w:szCs w:val="21"/>
              </w:rPr>
            </w:pPr>
            <w:r>
              <w:rPr>
                <w:rFonts w:eastAsiaTheme="minorEastAsia"/>
                <w:szCs w:val="21"/>
              </w:rPr>
              <w:t>国家自然科学基金面上项目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313" w:rightChars="-149" w:hanging="462" w:firstLineChars="0"/>
              <w:jc w:val="center"/>
              <w:rPr>
                <w:rFonts w:eastAsiaTheme="minorEastAsia"/>
                <w:szCs w:val="21"/>
              </w:rPr>
            </w:pPr>
          </w:p>
        </w:tc>
        <w:tc>
          <w:tcPr>
            <w:tcW w:w="2807" w:type="dxa"/>
            <w:vAlign w:val="center"/>
          </w:tcPr>
          <w:p>
            <w:pPr>
              <w:rPr>
                <w:rFonts w:eastAsiaTheme="minorEastAsia"/>
                <w:szCs w:val="21"/>
              </w:rPr>
            </w:pPr>
            <w:r>
              <w:rPr>
                <w:rFonts w:eastAsiaTheme="minorEastAsia"/>
                <w:szCs w:val="21"/>
              </w:rPr>
              <w:t>仿生界面多功能无机纳米晶的简捷构筑及其诊治肿瘤的分子机制</w:t>
            </w:r>
          </w:p>
        </w:tc>
        <w:tc>
          <w:tcPr>
            <w:tcW w:w="1286" w:type="dxa"/>
            <w:vAlign w:val="center"/>
          </w:tcPr>
          <w:p>
            <w:pPr>
              <w:jc w:val="center"/>
              <w:rPr>
                <w:rFonts w:eastAsiaTheme="minorEastAsia"/>
                <w:szCs w:val="21"/>
              </w:rPr>
            </w:pPr>
            <w:r>
              <w:rPr>
                <w:rFonts w:eastAsiaTheme="minorEastAsia"/>
                <w:szCs w:val="21"/>
              </w:rPr>
              <w:t>21671046</w:t>
            </w:r>
          </w:p>
        </w:tc>
        <w:tc>
          <w:tcPr>
            <w:tcW w:w="955" w:type="dxa"/>
            <w:vAlign w:val="center"/>
          </w:tcPr>
          <w:p>
            <w:pPr>
              <w:ind w:left="-94" w:leftChars="-45"/>
              <w:jc w:val="center"/>
              <w:rPr>
                <w:rFonts w:eastAsiaTheme="minorEastAsia"/>
                <w:szCs w:val="21"/>
              </w:rPr>
            </w:pPr>
            <w:r>
              <w:rPr>
                <w:rFonts w:eastAsiaTheme="minorEastAsia"/>
                <w:szCs w:val="21"/>
              </w:rPr>
              <w:t>沈星灿</w:t>
            </w:r>
          </w:p>
        </w:tc>
        <w:tc>
          <w:tcPr>
            <w:tcW w:w="901" w:type="dxa"/>
            <w:vAlign w:val="center"/>
          </w:tcPr>
          <w:p>
            <w:pPr>
              <w:ind w:left="-63" w:leftChars="-30" w:right="-17" w:rightChars="-8"/>
              <w:jc w:val="center"/>
              <w:rPr>
                <w:rFonts w:eastAsiaTheme="minorEastAsia"/>
                <w:szCs w:val="21"/>
              </w:rPr>
            </w:pPr>
            <w:r>
              <w:rPr>
                <w:rFonts w:eastAsiaTheme="minorEastAsia"/>
                <w:szCs w:val="21"/>
              </w:rPr>
              <w:t>2017</w:t>
            </w:r>
            <w:r>
              <w:rPr>
                <w:rFonts w:hint="eastAsia" w:eastAsiaTheme="minorEastAsia"/>
                <w:szCs w:val="21"/>
              </w:rPr>
              <w:t>.</w:t>
            </w:r>
            <w:r>
              <w:rPr>
                <w:rFonts w:eastAsiaTheme="minorEastAsia"/>
                <w:szCs w:val="21"/>
              </w:rPr>
              <w:t>01-</w:t>
            </w:r>
            <w:r>
              <w:rPr>
                <w:rFonts w:hint="eastAsia" w:eastAsiaTheme="minorEastAsia"/>
                <w:szCs w:val="21"/>
              </w:rPr>
              <w:t xml:space="preserve"> </w:t>
            </w:r>
            <w:r>
              <w:rPr>
                <w:rFonts w:eastAsiaTheme="minorEastAsia"/>
                <w:szCs w:val="21"/>
              </w:rPr>
              <w:t>2020</w:t>
            </w:r>
            <w:r>
              <w:rPr>
                <w:rFonts w:hint="eastAsia" w:eastAsiaTheme="minorEastAsia"/>
                <w:szCs w:val="21"/>
              </w:rPr>
              <w:t>.</w:t>
            </w:r>
            <w:r>
              <w:rPr>
                <w:rFonts w:eastAsiaTheme="minorEastAsia"/>
                <w:szCs w:val="21"/>
              </w:rPr>
              <w:t>12</w:t>
            </w:r>
          </w:p>
        </w:tc>
        <w:tc>
          <w:tcPr>
            <w:tcW w:w="712" w:type="dxa"/>
            <w:vAlign w:val="center"/>
          </w:tcPr>
          <w:p>
            <w:pPr>
              <w:ind w:left="-69" w:leftChars="-33" w:right="-141" w:rightChars="-67"/>
              <w:jc w:val="center"/>
              <w:rPr>
                <w:rFonts w:eastAsiaTheme="minorEastAsia"/>
                <w:szCs w:val="21"/>
              </w:rPr>
            </w:pPr>
            <w:r>
              <w:rPr>
                <w:rFonts w:eastAsiaTheme="minorEastAsia"/>
                <w:szCs w:val="21"/>
              </w:rPr>
              <w:t>70</w:t>
            </w:r>
          </w:p>
        </w:tc>
        <w:tc>
          <w:tcPr>
            <w:tcW w:w="1799" w:type="dxa"/>
            <w:vAlign w:val="center"/>
          </w:tcPr>
          <w:p>
            <w:pPr>
              <w:ind w:left="-34" w:leftChars="-16" w:right="-92" w:rightChars="-44"/>
              <w:rPr>
                <w:rFonts w:eastAsiaTheme="minorEastAsia"/>
                <w:szCs w:val="21"/>
              </w:rPr>
            </w:pPr>
            <w:r>
              <w:rPr>
                <w:rFonts w:eastAsiaTheme="minorEastAsia"/>
                <w:szCs w:val="21"/>
              </w:rPr>
              <w:t>国家自然科学基金面上项目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313" w:rightChars="-149" w:hanging="462" w:firstLineChars="0"/>
              <w:jc w:val="center"/>
              <w:rPr>
                <w:rFonts w:eastAsiaTheme="minorEastAsia"/>
                <w:szCs w:val="21"/>
              </w:rPr>
            </w:pPr>
          </w:p>
        </w:tc>
        <w:tc>
          <w:tcPr>
            <w:tcW w:w="2807" w:type="dxa"/>
            <w:vAlign w:val="center"/>
          </w:tcPr>
          <w:p>
            <w:pPr>
              <w:rPr>
                <w:rFonts w:eastAsiaTheme="minorEastAsia"/>
                <w:szCs w:val="21"/>
              </w:rPr>
            </w:pPr>
            <w:r>
              <w:rPr>
                <w:rFonts w:eastAsiaTheme="minorEastAsia"/>
                <w:szCs w:val="21"/>
              </w:rPr>
              <w:t>p53磷酸化位点S15和S392在非小细胞肺癌重构p53功能的作用及萘甲酰亚胺类化合物的干预机制研究</w:t>
            </w:r>
          </w:p>
        </w:tc>
        <w:tc>
          <w:tcPr>
            <w:tcW w:w="1286" w:type="dxa"/>
            <w:vAlign w:val="center"/>
          </w:tcPr>
          <w:p>
            <w:pPr>
              <w:jc w:val="center"/>
              <w:rPr>
                <w:rFonts w:eastAsiaTheme="minorEastAsia"/>
                <w:szCs w:val="21"/>
              </w:rPr>
            </w:pPr>
            <w:r>
              <w:rPr>
                <w:rFonts w:eastAsiaTheme="minorEastAsia"/>
                <w:szCs w:val="21"/>
              </w:rPr>
              <w:t>81673473</w:t>
            </w:r>
          </w:p>
        </w:tc>
        <w:tc>
          <w:tcPr>
            <w:tcW w:w="955" w:type="dxa"/>
            <w:vAlign w:val="center"/>
          </w:tcPr>
          <w:p>
            <w:pPr>
              <w:ind w:left="-94" w:leftChars="-45"/>
              <w:jc w:val="center"/>
              <w:rPr>
                <w:rFonts w:eastAsiaTheme="minorEastAsia"/>
                <w:szCs w:val="21"/>
              </w:rPr>
            </w:pPr>
            <w:r>
              <w:rPr>
                <w:rFonts w:eastAsiaTheme="minorEastAsia"/>
                <w:szCs w:val="21"/>
              </w:rPr>
              <w:t>彭艳</w:t>
            </w:r>
          </w:p>
        </w:tc>
        <w:tc>
          <w:tcPr>
            <w:tcW w:w="901" w:type="dxa"/>
            <w:vAlign w:val="center"/>
          </w:tcPr>
          <w:p>
            <w:pPr>
              <w:ind w:left="-63" w:leftChars="-30" w:right="-17" w:rightChars="-8"/>
              <w:jc w:val="center"/>
              <w:rPr>
                <w:rFonts w:eastAsiaTheme="minorEastAsia"/>
                <w:szCs w:val="21"/>
              </w:rPr>
            </w:pPr>
            <w:r>
              <w:rPr>
                <w:rFonts w:eastAsiaTheme="minorEastAsia"/>
                <w:szCs w:val="21"/>
              </w:rPr>
              <w:t>2017</w:t>
            </w:r>
            <w:r>
              <w:rPr>
                <w:rFonts w:hint="eastAsia" w:eastAsiaTheme="minorEastAsia"/>
                <w:szCs w:val="21"/>
              </w:rPr>
              <w:t>.</w:t>
            </w:r>
            <w:r>
              <w:rPr>
                <w:rFonts w:eastAsiaTheme="minorEastAsia"/>
                <w:szCs w:val="21"/>
              </w:rPr>
              <w:t>01-</w:t>
            </w:r>
            <w:r>
              <w:rPr>
                <w:rFonts w:hint="eastAsia" w:eastAsiaTheme="minorEastAsia"/>
                <w:szCs w:val="21"/>
              </w:rPr>
              <w:t xml:space="preserve"> </w:t>
            </w:r>
            <w:r>
              <w:rPr>
                <w:rFonts w:eastAsiaTheme="minorEastAsia"/>
                <w:szCs w:val="21"/>
              </w:rPr>
              <w:t>2020</w:t>
            </w:r>
            <w:r>
              <w:rPr>
                <w:rFonts w:hint="eastAsia" w:eastAsiaTheme="minorEastAsia"/>
                <w:szCs w:val="21"/>
              </w:rPr>
              <w:t>.</w:t>
            </w:r>
            <w:r>
              <w:rPr>
                <w:rFonts w:eastAsiaTheme="minorEastAsia"/>
                <w:szCs w:val="21"/>
              </w:rPr>
              <w:t>12</w:t>
            </w:r>
          </w:p>
        </w:tc>
        <w:tc>
          <w:tcPr>
            <w:tcW w:w="712" w:type="dxa"/>
            <w:vAlign w:val="center"/>
          </w:tcPr>
          <w:p>
            <w:pPr>
              <w:ind w:left="-69" w:leftChars="-33" w:right="-141" w:rightChars="-67"/>
              <w:jc w:val="center"/>
              <w:rPr>
                <w:rFonts w:eastAsiaTheme="minorEastAsia"/>
                <w:szCs w:val="21"/>
              </w:rPr>
            </w:pPr>
            <w:r>
              <w:rPr>
                <w:rFonts w:eastAsiaTheme="minorEastAsia"/>
                <w:szCs w:val="21"/>
              </w:rPr>
              <w:t>50</w:t>
            </w:r>
          </w:p>
        </w:tc>
        <w:tc>
          <w:tcPr>
            <w:tcW w:w="1799" w:type="dxa"/>
            <w:vAlign w:val="center"/>
          </w:tcPr>
          <w:p>
            <w:pPr>
              <w:ind w:left="-34" w:leftChars="-16" w:right="-92" w:rightChars="-44"/>
              <w:rPr>
                <w:rFonts w:eastAsiaTheme="minorEastAsia"/>
                <w:szCs w:val="21"/>
              </w:rPr>
            </w:pPr>
            <w:r>
              <w:rPr>
                <w:rFonts w:eastAsiaTheme="minorEastAsia"/>
                <w:szCs w:val="21"/>
              </w:rPr>
              <w:t>国家自然科学基金面上项目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309" w:rightChars="-147" w:hanging="462" w:firstLineChars="0"/>
              <w:jc w:val="center"/>
              <w:rPr>
                <w:rFonts w:eastAsiaTheme="minorEastAsia"/>
                <w:szCs w:val="21"/>
              </w:rPr>
            </w:pPr>
          </w:p>
        </w:tc>
        <w:tc>
          <w:tcPr>
            <w:tcW w:w="2807" w:type="dxa"/>
            <w:vAlign w:val="center"/>
          </w:tcPr>
          <w:p>
            <w:pPr>
              <w:ind w:left="-34" w:leftChars="-16" w:right="-92" w:rightChars="-44"/>
              <w:rPr>
                <w:rFonts w:eastAsiaTheme="minorEastAsia"/>
                <w:szCs w:val="21"/>
              </w:rPr>
            </w:pPr>
            <w:r>
              <w:rPr>
                <w:rFonts w:eastAsiaTheme="minorEastAsia"/>
                <w:szCs w:val="21"/>
              </w:rPr>
              <w:t>Latexin, 调节血流切应力下血管内皮细胞形态与功能的关键分子</w:t>
            </w:r>
          </w:p>
        </w:tc>
        <w:tc>
          <w:tcPr>
            <w:tcW w:w="1286" w:type="dxa"/>
            <w:vAlign w:val="center"/>
          </w:tcPr>
          <w:p>
            <w:pPr>
              <w:jc w:val="center"/>
              <w:rPr>
                <w:rFonts w:eastAsiaTheme="minorEastAsia"/>
                <w:szCs w:val="21"/>
              </w:rPr>
            </w:pPr>
            <w:r>
              <w:rPr>
                <w:rFonts w:eastAsiaTheme="minorEastAsia"/>
                <w:szCs w:val="21"/>
              </w:rPr>
              <w:t>81770310</w:t>
            </w:r>
          </w:p>
        </w:tc>
        <w:tc>
          <w:tcPr>
            <w:tcW w:w="955" w:type="dxa"/>
            <w:vAlign w:val="center"/>
          </w:tcPr>
          <w:p>
            <w:pPr>
              <w:ind w:left="-34" w:leftChars="-16"/>
              <w:jc w:val="center"/>
              <w:rPr>
                <w:rFonts w:eastAsiaTheme="minorEastAsia"/>
                <w:szCs w:val="21"/>
              </w:rPr>
            </w:pPr>
            <w:r>
              <w:rPr>
                <w:rFonts w:eastAsiaTheme="minorEastAsia"/>
                <w:szCs w:val="21"/>
              </w:rPr>
              <w:t>陈明</w:t>
            </w:r>
          </w:p>
        </w:tc>
        <w:tc>
          <w:tcPr>
            <w:tcW w:w="901" w:type="dxa"/>
            <w:vAlign w:val="center"/>
          </w:tcPr>
          <w:p>
            <w:pPr>
              <w:adjustRightInd w:val="0"/>
              <w:snapToGrid w:val="0"/>
              <w:ind w:left="-63" w:leftChars="-30" w:right="-17" w:rightChars="-8"/>
              <w:jc w:val="center"/>
              <w:rPr>
                <w:rFonts w:eastAsiaTheme="minorEastAsia"/>
                <w:szCs w:val="21"/>
              </w:rPr>
            </w:pPr>
            <w:r>
              <w:rPr>
                <w:rFonts w:eastAsiaTheme="minorEastAsia"/>
                <w:szCs w:val="21"/>
              </w:rPr>
              <w:t>2018</w:t>
            </w:r>
            <w:r>
              <w:rPr>
                <w:rFonts w:hint="eastAsia" w:eastAsiaTheme="minorEastAsia"/>
                <w:szCs w:val="21"/>
              </w:rPr>
              <w:t>.</w:t>
            </w:r>
            <w:r>
              <w:rPr>
                <w:rFonts w:eastAsiaTheme="minorEastAsia"/>
                <w:szCs w:val="21"/>
              </w:rPr>
              <w:t>01-</w:t>
            </w:r>
            <w:r>
              <w:rPr>
                <w:rFonts w:hint="eastAsia" w:eastAsiaTheme="minorEastAsia"/>
                <w:szCs w:val="21"/>
              </w:rPr>
              <w:t xml:space="preserve"> </w:t>
            </w:r>
            <w:r>
              <w:rPr>
                <w:rFonts w:eastAsiaTheme="minorEastAsia"/>
                <w:szCs w:val="21"/>
              </w:rPr>
              <w:t>2021</w:t>
            </w:r>
            <w:r>
              <w:rPr>
                <w:rFonts w:hint="eastAsia" w:eastAsiaTheme="minorEastAsia"/>
                <w:szCs w:val="21"/>
              </w:rPr>
              <w:t>.</w:t>
            </w:r>
            <w:r>
              <w:rPr>
                <w:rFonts w:eastAsiaTheme="minorEastAsia"/>
                <w:szCs w:val="21"/>
              </w:rPr>
              <w:t>12</w:t>
            </w:r>
          </w:p>
        </w:tc>
        <w:tc>
          <w:tcPr>
            <w:tcW w:w="712" w:type="dxa"/>
            <w:vAlign w:val="center"/>
          </w:tcPr>
          <w:p>
            <w:pPr>
              <w:ind w:left="-34" w:leftChars="-16" w:right="-92" w:rightChars="-44"/>
              <w:jc w:val="center"/>
              <w:rPr>
                <w:rFonts w:eastAsiaTheme="minorEastAsia"/>
                <w:szCs w:val="21"/>
              </w:rPr>
            </w:pPr>
            <w:r>
              <w:rPr>
                <w:rFonts w:eastAsiaTheme="minorEastAsia"/>
                <w:szCs w:val="21"/>
              </w:rPr>
              <w:t>55</w:t>
            </w:r>
          </w:p>
        </w:tc>
        <w:tc>
          <w:tcPr>
            <w:tcW w:w="1799" w:type="dxa"/>
            <w:vAlign w:val="center"/>
          </w:tcPr>
          <w:p>
            <w:pPr>
              <w:ind w:left="-34" w:leftChars="-16" w:right="-92" w:rightChars="-44"/>
              <w:rPr>
                <w:rFonts w:eastAsiaTheme="minorEastAsia"/>
                <w:szCs w:val="21"/>
              </w:rPr>
            </w:pPr>
            <w:r>
              <w:rPr>
                <w:rFonts w:eastAsiaTheme="minorEastAsia"/>
                <w:szCs w:val="21"/>
              </w:rPr>
              <w:t>国家自然科学基金面上项目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309" w:rightChars="-147" w:hanging="462" w:firstLineChars="0"/>
              <w:jc w:val="center"/>
              <w:rPr>
                <w:rFonts w:eastAsiaTheme="minorEastAsia"/>
                <w:szCs w:val="21"/>
              </w:rPr>
            </w:pPr>
          </w:p>
        </w:tc>
        <w:tc>
          <w:tcPr>
            <w:tcW w:w="2807" w:type="dxa"/>
            <w:vAlign w:val="center"/>
          </w:tcPr>
          <w:p>
            <w:pPr>
              <w:ind w:left="-34" w:leftChars="-16" w:right="-92" w:rightChars="-44"/>
              <w:rPr>
                <w:rFonts w:eastAsiaTheme="minorEastAsia"/>
                <w:szCs w:val="21"/>
              </w:rPr>
            </w:pPr>
            <w:r>
              <w:rPr>
                <w:rFonts w:eastAsiaTheme="minorEastAsia"/>
                <w:szCs w:val="21"/>
              </w:rPr>
              <w:t>基于核酸纳米结构信号放大元件的RNA可变剪接测定及原位荧光成像研究</w:t>
            </w:r>
          </w:p>
        </w:tc>
        <w:tc>
          <w:tcPr>
            <w:tcW w:w="1286" w:type="dxa"/>
            <w:vAlign w:val="center"/>
          </w:tcPr>
          <w:p>
            <w:pPr>
              <w:jc w:val="center"/>
              <w:rPr>
                <w:rFonts w:eastAsiaTheme="minorEastAsia"/>
                <w:szCs w:val="21"/>
              </w:rPr>
            </w:pPr>
            <w:r>
              <w:rPr>
                <w:rFonts w:eastAsiaTheme="minorEastAsia"/>
                <w:szCs w:val="21"/>
              </w:rPr>
              <w:t>21775030</w:t>
            </w:r>
          </w:p>
        </w:tc>
        <w:tc>
          <w:tcPr>
            <w:tcW w:w="955" w:type="dxa"/>
            <w:vAlign w:val="center"/>
          </w:tcPr>
          <w:p>
            <w:pPr>
              <w:ind w:left="-34" w:leftChars="-16"/>
              <w:jc w:val="center"/>
              <w:rPr>
                <w:rFonts w:eastAsiaTheme="minorEastAsia"/>
                <w:szCs w:val="21"/>
              </w:rPr>
            </w:pPr>
            <w:r>
              <w:rPr>
                <w:rFonts w:eastAsiaTheme="minorEastAsia"/>
                <w:szCs w:val="21"/>
              </w:rPr>
              <w:t>张亮亮</w:t>
            </w:r>
          </w:p>
        </w:tc>
        <w:tc>
          <w:tcPr>
            <w:tcW w:w="901" w:type="dxa"/>
            <w:vAlign w:val="center"/>
          </w:tcPr>
          <w:p>
            <w:pPr>
              <w:adjustRightInd w:val="0"/>
              <w:snapToGrid w:val="0"/>
              <w:ind w:left="-63" w:leftChars="-30" w:right="-17" w:rightChars="-8"/>
              <w:jc w:val="center"/>
              <w:rPr>
                <w:rFonts w:eastAsiaTheme="minorEastAsia"/>
                <w:szCs w:val="21"/>
              </w:rPr>
            </w:pPr>
            <w:r>
              <w:rPr>
                <w:rFonts w:eastAsiaTheme="minorEastAsia"/>
                <w:szCs w:val="21"/>
              </w:rPr>
              <w:t>2018</w:t>
            </w:r>
            <w:r>
              <w:rPr>
                <w:rFonts w:hint="eastAsia" w:eastAsiaTheme="minorEastAsia"/>
                <w:szCs w:val="21"/>
              </w:rPr>
              <w:t>.</w:t>
            </w:r>
            <w:r>
              <w:rPr>
                <w:rFonts w:eastAsiaTheme="minorEastAsia"/>
                <w:szCs w:val="21"/>
              </w:rPr>
              <w:t>01-</w:t>
            </w:r>
            <w:r>
              <w:rPr>
                <w:rFonts w:hint="eastAsia" w:eastAsiaTheme="minorEastAsia"/>
                <w:szCs w:val="21"/>
              </w:rPr>
              <w:t xml:space="preserve"> </w:t>
            </w:r>
            <w:r>
              <w:rPr>
                <w:rFonts w:eastAsiaTheme="minorEastAsia"/>
                <w:szCs w:val="21"/>
              </w:rPr>
              <w:t>202</w:t>
            </w:r>
            <w:r>
              <w:rPr>
                <w:rFonts w:hint="eastAsia" w:eastAsiaTheme="minorEastAsia"/>
                <w:szCs w:val="21"/>
              </w:rPr>
              <w:t>1.</w:t>
            </w:r>
            <w:r>
              <w:rPr>
                <w:rFonts w:eastAsiaTheme="minorEastAsia"/>
                <w:szCs w:val="21"/>
              </w:rPr>
              <w:t>12</w:t>
            </w:r>
          </w:p>
        </w:tc>
        <w:tc>
          <w:tcPr>
            <w:tcW w:w="712" w:type="dxa"/>
            <w:vAlign w:val="center"/>
          </w:tcPr>
          <w:p>
            <w:pPr>
              <w:ind w:left="-34" w:leftChars="-16" w:right="-92" w:rightChars="-44"/>
              <w:jc w:val="center"/>
              <w:rPr>
                <w:rFonts w:eastAsiaTheme="minorEastAsia"/>
                <w:szCs w:val="21"/>
              </w:rPr>
            </w:pPr>
            <w:r>
              <w:rPr>
                <w:rFonts w:eastAsiaTheme="minorEastAsia"/>
                <w:szCs w:val="21"/>
              </w:rPr>
              <w:t>64</w:t>
            </w:r>
          </w:p>
        </w:tc>
        <w:tc>
          <w:tcPr>
            <w:tcW w:w="1799" w:type="dxa"/>
            <w:vAlign w:val="center"/>
          </w:tcPr>
          <w:p>
            <w:pPr>
              <w:ind w:left="-34" w:leftChars="-16" w:right="-92" w:rightChars="-44"/>
              <w:rPr>
                <w:rFonts w:eastAsiaTheme="minorEastAsia"/>
                <w:szCs w:val="21"/>
              </w:rPr>
            </w:pPr>
            <w:r>
              <w:rPr>
                <w:rFonts w:eastAsiaTheme="minorEastAsia"/>
                <w:szCs w:val="21"/>
              </w:rPr>
              <w:t>国家自然科学基金面上项目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309" w:rightChars="-147" w:hanging="462" w:firstLineChars="0"/>
              <w:jc w:val="center"/>
              <w:rPr>
                <w:rFonts w:eastAsiaTheme="minorEastAsia"/>
                <w:szCs w:val="21"/>
              </w:rPr>
            </w:pPr>
          </w:p>
        </w:tc>
        <w:tc>
          <w:tcPr>
            <w:tcW w:w="2807" w:type="dxa"/>
            <w:vAlign w:val="center"/>
          </w:tcPr>
          <w:p>
            <w:pPr>
              <w:rPr>
                <w:rFonts w:eastAsiaTheme="minorEastAsia"/>
                <w:kern w:val="0"/>
                <w:szCs w:val="21"/>
              </w:rPr>
            </w:pPr>
            <w:r>
              <w:rPr>
                <w:rFonts w:eastAsiaTheme="minorEastAsia"/>
                <w:kern w:val="0"/>
                <w:szCs w:val="21"/>
              </w:rPr>
              <w:t>基于片段的靶向拓扑异构酶I抗肿瘤新化学实体的设计、结构优化及其活性研究</w:t>
            </w:r>
          </w:p>
        </w:tc>
        <w:tc>
          <w:tcPr>
            <w:tcW w:w="1286" w:type="dxa"/>
            <w:vAlign w:val="center"/>
          </w:tcPr>
          <w:p>
            <w:pPr>
              <w:jc w:val="center"/>
              <w:rPr>
                <w:rFonts w:eastAsiaTheme="minorEastAsia"/>
                <w:kern w:val="0"/>
                <w:szCs w:val="21"/>
              </w:rPr>
            </w:pPr>
            <w:r>
              <w:rPr>
                <w:rFonts w:eastAsiaTheme="minorEastAsia"/>
                <w:kern w:val="0"/>
                <w:szCs w:val="21"/>
              </w:rPr>
              <w:t>21462008</w:t>
            </w:r>
          </w:p>
        </w:tc>
        <w:tc>
          <w:tcPr>
            <w:tcW w:w="955" w:type="dxa"/>
            <w:vAlign w:val="center"/>
          </w:tcPr>
          <w:p>
            <w:pPr>
              <w:jc w:val="center"/>
              <w:rPr>
                <w:rFonts w:eastAsiaTheme="minorEastAsia"/>
                <w:kern w:val="0"/>
                <w:szCs w:val="21"/>
              </w:rPr>
            </w:pPr>
            <w:r>
              <w:rPr>
                <w:rFonts w:eastAsiaTheme="minorEastAsia"/>
                <w:kern w:val="0"/>
                <w:szCs w:val="21"/>
              </w:rPr>
              <w:t>苏桂发</w:t>
            </w:r>
          </w:p>
        </w:tc>
        <w:tc>
          <w:tcPr>
            <w:tcW w:w="901" w:type="dxa"/>
            <w:vAlign w:val="center"/>
          </w:tcPr>
          <w:p>
            <w:pPr>
              <w:jc w:val="center"/>
              <w:rPr>
                <w:rFonts w:eastAsiaTheme="minorEastAsia"/>
                <w:kern w:val="0"/>
                <w:szCs w:val="21"/>
              </w:rPr>
            </w:pPr>
            <w:r>
              <w:rPr>
                <w:rFonts w:eastAsiaTheme="minorEastAsia"/>
                <w:kern w:val="0"/>
                <w:szCs w:val="21"/>
              </w:rPr>
              <w:t>2015</w:t>
            </w:r>
            <w:r>
              <w:rPr>
                <w:rFonts w:hint="eastAsia" w:eastAsiaTheme="minorEastAsia"/>
                <w:kern w:val="0"/>
                <w:szCs w:val="21"/>
              </w:rPr>
              <w:t>.</w:t>
            </w:r>
            <w:r>
              <w:rPr>
                <w:rFonts w:eastAsiaTheme="minorEastAsia"/>
                <w:kern w:val="0"/>
                <w:szCs w:val="21"/>
              </w:rPr>
              <w:t>01-201</w:t>
            </w:r>
            <w:r>
              <w:rPr>
                <w:rFonts w:hint="eastAsia" w:eastAsiaTheme="minorEastAsia"/>
                <w:kern w:val="0"/>
                <w:szCs w:val="21"/>
              </w:rPr>
              <w:t>8.</w:t>
            </w:r>
            <w:r>
              <w:rPr>
                <w:rFonts w:eastAsiaTheme="minorEastAsia"/>
                <w:kern w:val="0"/>
                <w:szCs w:val="21"/>
              </w:rPr>
              <w:t>12</w:t>
            </w:r>
          </w:p>
        </w:tc>
        <w:tc>
          <w:tcPr>
            <w:tcW w:w="712" w:type="dxa"/>
            <w:vAlign w:val="center"/>
          </w:tcPr>
          <w:p>
            <w:pPr>
              <w:jc w:val="center"/>
              <w:rPr>
                <w:rFonts w:eastAsiaTheme="minorEastAsia"/>
                <w:kern w:val="0"/>
                <w:szCs w:val="21"/>
              </w:rPr>
            </w:pPr>
            <w:r>
              <w:rPr>
                <w:rFonts w:eastAsiaTheme="minorEastAsia"/>
                <w:kern w:val="0"/>
                <w:szCs w:val="21"/>
              </w:rPr>
              <w:t>53</w:t>
            </w:r>
          </w:p>
        </w:tc>
        <w:tc>
          <w:tcPr>
            <w:tcW w:w="1799" w:type="dxa"/>
            <w:vAlign w:val="center"/>
          </w:tcPr>
          <w:p>
            <w:pPr>
              <w:rPr>
                <w:rFonts w:eastAsiaTheme="minorEastAsia"/>
                <w:kern w:val="0"/>
                <w:szCs w:val="21"/>
              </w:rPr>
            </w:pPr>
            <w:r>
              <w:rPr>
                <w:rFonts w:eastAsiaTheme="minorEastAsia"/>
                <w:kern w:val="0"/>
                <w:szCs w:val="21"/>
              </w:rPr>
              <w:t>国家自然科学基金地区科学基金项目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309" w:rightChars="-147" w:hanging="462" w:firstLineChars="0"/>
              <w:jc w:val="center"/>
              <w:rPr>
                <w:rFonts w:eastAsiaTheme="minorEastAsia"/>
                <w:szCs w:val="21"/>
              </w:rPr>
            </w:pPr>
          </w:p>
        </w:tc>
        <w:tc>
          <w:tcPr>
            <w:tcW w:w="2807" w:type="dxa"/>
            <w:vAlign w:val="center"/>
          </w:tcPr>
          <w:p>
            <w:pPr>
              <w:rPr>
                <w:rFonts w:eastAsiaTheme="minorEastAsia"/>
                <w:kern w:val="0"/>
                <w:szCs w:val="21"/>
              </w:rPr>
            </w:pPr>
            <w:r>
              <w:rPr>
                <w:rFonts w:eastAsiaTheme="minorEastAsia"/>
                <w:kern w:val="0"/>
                <w:szCs w:val="21"/>
              </w:rPr>
              <w:t>基于NF-κB从油茶枯中发现有效抗炎、抗肿瘤活性成分的研究</w:t>
            </w:r>
          </w:p>
        </w:tc>
        <w:tc>
          <w:tcPr>
            <w:tcW w:w="1286" w:type="dxa"/>
            <w:vAlign w:val="center"/>
          </w:tcPr>
          <w:p>
            <w:pPr>
              <w:jc w:val="center"/>
              <w:rPr>
                <w:rFonts w:eastAsiaTheme="minorEastAsia"/>
                <w:kern w:val="0"/>
                <w:szCs w:val="21"/>
              </w:rPr>
            </w:pPr>
            <w:r>
              <w:rPr>
                <w:rFonts w:eastAsiaTheme="minorEastAsia"/>
                <w:kern w:val="0"/>
                <w:szCs w:val="21"/>
              </w:rPr>
              <w:t>21462007</w:t>
            </w:r>
          </w:p>
        </w:tc>
        <w:tc>
          <w:tcPr>
            <w:tcW w:w="955" w:type="dxa"/>
            <w:vAlign w:val="center"/>
          </w:tcPr>
          <w:p>
            <w:pPr>
              <w:jc w:val="center"/>
              <w:rPr>
                <w:rFonts w:eastAsiaTheme="minorEastAsia"/>
                <w:kern w:val="0"/>
                <w:szCs w:val="21"/>
              </w:rPr>
            </w:pPr>
            <w:r>
              <w:rPr>
                <w:rFonts w:eastAsiaTheme="minorEastAsia"/>
                <w:kern w:val="0"/>
                <w:szCs w:val="21"/>
              </w:rPr>
              <w:t>覃江克</w:t>
            </w:r>
          </w:p>
        </w:tc>
        <w:tc>
          <w:tcPr>
            <w:tcW w:w="901" w:type="dxa"/>
            <w:vAlign w:val="center"/>
          </w:tcPr>
          <w:p>
            <w:pPr>
              <w:jc w:val="center"/>
              <w:rPr>
                <w:rFonts w:eastAsiaTheme="minorEastAsia"/>
                <w:kern w:val="0"/>
                <w:szCs w:val="21"/>
              </w:rPr>
            </w:pPr>
            <w:r>
              <w:rPr>
                <w:rFonts w:eastAsiaTheme="minorEastAsia"/>
                <w:kern w:val="0"/>
                <w:szCs w:val="21"/>
              </w:rPr>
              <w:t>2015</w:t>
            </w:r>
            <w:r>
              <w:rPr>
                <w:rFonts w:hint="eastAsia" w:eastAsiaTheme="minorEastAsia"/>
                <w:kern w:val="0"/>
                <w:szCs w:val="21"/>
              </w:rPr>
              <w:t>.</w:t>
            </w:r>
            <w:r>
              <w:rPr>
                <w:rFonts w:eastAsiaTheme="minorEastAsia"/>
                <w:kern w:val="0"/>
                <w:szCs w:val="21"/>
              </w:rPr>
              <w:t>01-201</w:t>
            </w:r>
            <w:r>
              <w:rPr>
                <w:rFonts w:hint="eastAsia" w:eastAsiaTheme="minorEastAsia"/>
                <w:kern w:val="0"/>
                <w:szCs w:val="21"/>
              </w:rPr>
              <w:t>8.</w:t>
            </w:r>
            <w:r>
              <w:rPr>
                <w:rFonts w:eastAsiaTheme="minorEastAsia"/>
                <w:kern w:val="0"/>
                <w:szCs w:val="21"/>
              </w:rPr>
              <w:t>12</w:t>
            </w:r>
          </w:p>
        </w:tc>
        <w:tc>
          <w:tcPr>
            <w:tcW w:w="712" w:type="dxa"/>
            <w:vAlign w:val="center"/>
          </w:tcPr>
          <w:p>
            <w:pPr>
              <w:jc w:val="center"/>
              <w:rPr>
                <w:rFonts w:eastAsiaTheme="minorEastAsia"/>
                <w:kern w:val="0"/>
                <w:szCs w:val="21"/>
              </w:rPr>
            </w:pPr>
            <w:r>
              <w:rPr>
                <w:rFonts w:eastAsiaTheme="minorEastAsia"/>
                <w:kern w:val="0"/>
                <w:szCs w:val="21"/>
              </w:rPr>
              <w:t>50</w:t>
            </w:r>
          </w:p>
        </w:tc>
        <w:tc>
          <w:tcPr>
            <w:tcW w:w="1799" w:type="dxa"/>
            <w:vAlign w:val="center"/>
          </w:tcPr>
          <w:p>
            <w:pPr>
              <w:rPr>
                <w:rFonts w:eastAsiaTheme="minorEastAsia"/>
                <w:kern w:val="0"/>
                <w:szCs w:val="21"/>
              </w:rPr>
            </w:pPr>
            <w:r>
              <w:rPr>
                <w:rFonts w:eastAsiaTheme="minorEastAsia"/>
                <w:kern w:val="0"/>
                <w:szCs w:val="21"/>
              </w:rPr>
              <w:t>国家自然科学基金地区科学基金项目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309" w:rightChars="-147" w:hanging="462" w:firstLineChars="0"/>
              <w:jc w:val="center"/>
              <w:rPr>
                <w:rFonts w:eastAsiaTheme="minorEastAsia"/>
                <w:szCs w:val="21"/>
              </w:rPr>
            </w:pPr>
          </w:p>
        </w:tc>
        <w:tc>
          <w:tcPr>
            <w:tcW w:w="2807" w:type="dxa"/>
            <w:vAlign w:val="center"/>
          </w:tcPr>
          <w:p>
            <w:pPr>
              <w:rPr>
                <w:rFonts w:eastAsiaTheme="minorEastAsia"/>
                <w:szCs w:val="21"/>
              </w:rPr>
            </w:pPr>
            <w:r>
              <w:rPr>
                <w:rFonts w:eastAsiaTheme="minorEastAsia"/>
                <w:szCs w:val="21"/>
              </w:rPr>
              <w:t>三种鹊肾树属植物抗HBV活性苯丙素的定向发现和作用机制</w:t>
            </w:r>
          </w:p>
        </w:tc>
        <w:tc>
          <w:tcPr>
            <w:tcW w:w="1286" w:type="dxa"/>
            <w:vAlign w:val="center"/>
          </w:tcPr>
          <w:p>
            <w:pPr>
              <w:jc w:val="center"/>
              <w:rPr>
                <w:rFonts w:eastAsiaTheme="minorEastAsia"/>
                <w:szCs w:val="21"/>
              </w:rPr>
            </w:pPr>
            <w:r>
              <w:rPr>
                <w:rFonts w:eastAsiaTheme="minorEastAsia"/>
                <w:szCs w:val="21"/>
              </w:rPr>
              <w:t>21662004</w:t>
            </w:r>
          </w:p>
        </w:tc>
        <w:tc>
          <w:tcPr>
            <w:tcW w:w="955" w:type="dxa"/>
            <w:vAlign w:val="center"/>
          </w:tcPr>
          <w:p>
            <w:pPr>
              <w:ind w:left="-94" w:leftChars="-45"/>
              <w:jc w:val="center"/>
              <w:rPr>
                <w:rFonts w:eastAsiaTheme="minorEastAsia"/>
                <w:szCs w:val="21"/>
              </w:rPr>
            </w:pPr>
            <w:r>
              <w:rPr>
                <w:rFonts w:eastAsiaTheme="minorEastAsia"/>
                <w:szCs w:val="21"/>
              </w:rPr>
              <w:t>李俊</w:t>
            </w:r>
          </w:p>
        </w:tc>
        <w:tc>
          <w:tcPr>
            <w:tcW w:w="901" w:type="dxa"/>
            <w:vAlign w:val="center"/>
          </w:tcPr>
          <w:p>
            <w:pPr>
              <w:ind w:left="-63" w:leftChars="-30" w:right="-17" w:rightChars="-8"/>
              <w:jc w:val="center"/>
              <w:rPr>
                <w:rFonts w:eastAsiaTheme="minorEastAsia"/>
                <w:szCs w:val="21"/>
              </w:rPr>
            </w:pPr>
            <w:r>
              <w:rPr>
                <w:rFonts w:eastAsiaTheme="minorEastAsia"/>
                <w:szCs w:val="21"/>
              </w:rPr>
              <w:t>2017</w:t>
            </w:r>
            <w:r>
              <w:rPr>
                <w:rFonts w:hint="eastAsia" w:eastAsiaTheme="minorEastAsia"/>
                <w:szCs w:val="21"/>
              </w:rPr>
              <w:t>.</w:t>
            </w:r>
            <w:r>
              <w:rPr>
                <w:rFonts w:eastAsiaTheme="minorEastAsia"/>
                <w:szCs w:val="21"/>
              </w:rPr>
              <w:t>01-</w:t>
            </w:r>
            <w:r>
              <w:rPr>
                <w:rFonts w:hint="eastAsia" w:eastAsiaTheme="minorEastAsia"/>
                <w:szCs w:val="21"/>
              </w:rPr>
              <w:t xml:space="preserve"> </w:t>
            </w:r>
            <w:r>
              <w:rPr>
                <w:rFonts w:eastAsiaTheme="minorEastAsia"/>
                <w:szCs w:val="21"/>
              </w:rPr>
              <w:t>2020</w:t>
            </w:r>
            <w:r>
              <w:rPr>
                <w:rFonts w:hint="eastAsia" w:eastAsiaTheme="minorEastAsia"/>
                <w:szCs w:val="21"/>
              </w:rPr>
              <w:t>.</w:t>
            </w:r>
            <w:r>
              <w:rPr>
                <w:rFonts w:eastAsiaTheme="minorEastAsia"/>
                <w:szCs w:val="21"/>
              </w:rPr>
              <w:t>12</w:t>
            </w:r>
          </w:p>
        </w:tc>
        <w:tc>
          <w:tcPr>
            <w:tcW w:w="712" w:type="dxa"/>
            <w:vAlign w:val="center"/>
          </w:tcPr>
          <w:p>
            <w:pPr>
              <w:ind w:left="-69" w:leftChars="-33" w:right="-141" w:rightChars="-67"/>
              <w:jc w:val="center"/>
              <w:rPr>
                <w:rFonts w:eastAsiaTheme="minorEastAsia"/>
                <w:szCs w:val="21"/>
              </w:rPr>
            </w:pPr>
            <w:r>
              <w:rPr>
                <w:rFonts w:eastAsiaTheme="minorEastAsia"/>
                <w:szCs w:val="21"/>
              </w:rPr>
              <w:t>40</w:t>
            </w:r>
          </w:p>
        </w:tc>
        <w:tc>
          <w:tcPr>
            <w:tcW w:w="1799" w:type="dxa"/>
            <w:vAlign w:val="center"/>
          </w:tcPr>
          <w:p>
            <w:pPr>
              <w:ind w:left="-34" w:leftChars="-16" w:right="-92" w:rightChars="-44"/>
              <w:rPr>
                <w:rFonts w:eastAsiaTheme="minorEastAsia"/>
                <w:szCs w:val="21"/>
              </w:rPr>
            </w:pPr>
            <w:r>
              <w:rPr>
                <w:rFonts w:eastAsiaTheme="minorEastAsia"/>
                <w:szCs w:val="21"/>
              </w:rPr>
              <w:t>国家自然科学基金地区科学基金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309" w:rightChars="-147" w:hanging="462" w:firstLineChars="0"/>
              <w:jc w:val="center"/>
              <w:rPr>
                <w:rFonts w:eastAsiaTheme="minorEastAsia"/>
                <w:szCs w:val="21"/>
              </w:rPr>
            </w:pPr>
          </w:p>
        </w:tc>
        <w:tc>
          <w:tcPr>
            <w:tcW w:w="2807" w:type="dxa"/>
            <w:vAlign w:val="center"/>
          </w:tcPr>
          <w:p>
            <w:pPr>
              <w:rPr>
                <w:rFonts w:eastAsiaTheme="minorEastAsia"/>
                <w:kern w:val="0"/>
                <w:szCs w:val="21"/>
              </w:rPr>
            </w:pPr>
            <w:r>
              <w:rPr>
                <w:rFonts w:eastAsiaTheme="minorEastAsia"/>
                <w:szCs w:val="21"/>
              </w:rPr>
              <w:t>新型骨癌靶向诊断治疗(theranostics)铂化合物研究</w:t>
            </w:r>
          </w:p>
        </w:tc>
        <w:tc>
          <w:tcPr>
            <w:tcW w:w="1286" w:type="dxa"/>
            <w:vAlign w:val="center"/>
          </w:tcPr>
          <w:p>
            <w:pPr>
              <w:jc w:val="center"/>
              <w:rPr>
                <w:rFonts w:eastAsiaTheme="minorEastAsia"/>
                <w:kern w:val="0"/>
                <w:szCs w:val="21"/>
              </w:rPr>
            </w:pPr>
            <w:r>
              <w:rPr>
                <w:rFonts w:eastAsiaTheme="minorEastAsia"/>
                <w:szCs w:val="21"/>
              </w:rPr>
              <w:t>21401031</w:t>
            </w:r>
          </w:p>
        </w:tc>
        <w:tc>
          <w:tcPr>
            <w:tcW w:w="955" w:type="dxa"/>
            <w:vAlign w:val="center"/>
          </w:tcPr>
          <w:p>
            <w:pPr>
              <w:jc w:val="center"/>
              <w:rPr>
                <w:rFonts w:eastAsiaTheme="minorEastAsia"/>
                <w:kern w:val="0"/>
                <w:szCs w:val="21"/>
              </w:rPr>
            </w:pPr>
            <w:r>
              <w:rPr>
                <w:rFonts w:eastAsiaTheme="minorEastAsia"/>
                <w:szCs w:val="21"/>
              </w:rPr>
              <w:t>黄克斌</w:t>
            </w:r>
          </w:p>
        </w:tc>
        <w:tc>
          <w:tcPr>
            <w:tcW w:w="901" w:type="dxa"/>
            <w:vAlign w:val="center"/>
          </w:tcPr>
          <w:p>
            <w:pPr>
              <w:jc w:val="center"/>
              <w:rPr>
                <w:rFonts w:eastAsiaTheme="minorEastAsia"/>
                <w:kern w:val="0"/>
                <w:szCs w:val="21"/>
              </w:rPr>
            </w:pPr>
            <w:r>
              <w:rPr>
                <w:rFonts w:eastAsiaTheme="minorEastAsia"/>
                <w:szCs w:val="21"/>
              </w:rPr>
              <w:t>2015</w:t>
            </w:r>
            <w:r>
              <w:rPr>
                <w:rFonts w:hint="eastAsia" w:eastAsiaTheme="minorEastAsia"/>
                <w:szCs w:val="21"/>
              </w:rPr>
              <w:t>.</w:t>
            </w:r>
            <w:r>
              <w:rPr>
                <w:rFonts w:eastAsiaTheme="minorEastAsia"/>
                <w:szCs w:val="21"/>
              </w:rPr>
              <w:t>01-2017</w:t>
            </w:r>
            <w:r>
              <w:rPr>
                <w:rFonts w:hint="eastAsia" w:eastAsiaTheme="minorEastAsia"/>
                <w:szCs w:val="21"/>
              </w:rPr>
              <w:t>.</w:t>
            </w:r>
            <w:r>
              <w:rPr>
                <w:rFonts w:eastAsiaTheme="minorEastAsia"/>
                <w:szCs w:val="21"/>
              </w:rPr>
              <w:t>12</w:t>
            </w:r>
          </w:p>
        </w:tc>
        <w:tc>
          <w:tcPr>
            <w:tcW w:w="712" w:type="dxa"/>
            <w:vAlign w:val="center"/>
          </w:tcPr>
          <w:p>
            <w:pPr>
              <w:jc w:val="center"/>
              <w:rPr>
                <w:rFonts w:eastAsiaTheme="minorEastAsia"/>
                <w:kern w:val="0"/>
                <w:szCs w:val="21"/>
              </w:rPr>
            </w:pPr>
            <w:r>
              <w:rPr>
                <w:rFonts w:eastAsiaTheme="minorEastAsia"/>
                <w:kern w:val="0"/>
                <w:szCs w:val="21"/>
              </w:rPr>
              <w:t>25</w:t>
            </w:r>
          </w:p>
        </w:tc>
        <w:tc>
          <w:tcPr>
            <w:tcW w:w="1799" w:type="dxa"/>
            <w:vAlign w:val="center"/>
          </w:tcPr>
          <w:p>
            <w:pPr>
              <w:rPr>
                <w:rFonts w:eastAsiaTheme="minorEastAsia"/>
                <w:kern w:val="0"/>
                <w:szCs w:val="21"/>
              </w:rPr>
            </w:pPr>
            <w:r>
              <w:rPr>
                <w:rFonts w:eastAsiaTheme="minorEastAsia"/>
                <w:szCs w:val="21"/>
              </w:rPr>
              <w:t>国家自然科学基金青年科学基金项目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309" w:rightChars="-147" w:hanging="462" w:firstLineChars="0"/>
              <w:jc w:val="center"/>
              <w:rPr>
                <w:rFonts w:eastAsiaTheme="minorEastAsia"/>
                <w:szCs w:val="21"/>
              </w:rPr>
            </w:pPr>
          </w:p>
        </w:tc>
        <w:tc>
          <w:tcPr>
            <w:tcW w:w="2807" w:type="dxa"/>
            <w:vAlign w:val="center"/>
          </w:tcPr>
          <w:p>
            <w:pPr>
              <w:rPr>
                <w:rFonts w:eastAsiaTheme="minorEastAsia"/>
                <w:kern w:val="0"/>
                <w:szCs w:val="21"/>
              </w:rPr>
            </w:pPr>
            <w:r>
              <w:rPr>
                <w:rFonts w:eastAsiaTheme="minorEastAsia"/>
                <w:kern w:val="0"/>
                <w:szCs w:val="21"/>
              </w:rPr>
              <w:t>基于并发共激活效应的非小细胞肺癌诱发EGFR成瘾机制研究</w:t>
            </w:r>
          </w:p>
        </w:tc>
        <w:tc>
          <w:tcPr>
            <w:tcW w:w="1286" w:type="dxa"/>
            <w:vAlign w:val="center"/>
          </w:tcPr>
          <w:p>
            <w:pPr>
              <w:jc w:val="center"/>
              <w:rPr>
                <w:rFonts w:eastAsiaTheme="minorEastAsia"/>
                <w:kern w:val="0"/>
                <w:szCs w:val="21"/>
              </w:rPr>
            </w:pPr>
            <w:r>
              <w:rPr>
                <w:rFonts w:eastAsiaTheme="minorEastAsia"/>
                <w:szCs w:val="21"/>
              </w:rPr>
              <w:t>81401912</w:t>
            </w:r>
          </w:p>
        </w:tc>
        <w:tc>
          <w:tcPr>
            <w:tcW w:w="955" w:type="dxa"/>
            <w:vAlign w:val="center"/>
          </w:tcPr>
          <w:p>
            <w:pPr>
              <w:jc w:val="center"/>
              <w:rPr>
                <w:rFonts w:eastAsiaTheme="minorEastAsia"/>
                <w:kern w:val="0"/>
                <w:szCs w:val="21"/>
              </w:rPr>
            </w:pPr>
            <w:r>
              <w:rPr>
                <w:rFonts w:eastAsiaTheme="minorEastAsia"/>
                <w:szCs w:val="21"/>
              </w:rPr>
              <w:t>张国海</w:t>
            </w:r>
          </w:p>
        </w:tc>
        <w:tc>
          <w:tcPr>
            <w:tcW w:w="901" w:type="dxa"/>
            <w:vAlign w:val="center"/>
          </w:tcPr>
          <w:p>
            <w:pPr>
              <w:jc w:val="center"/>
              <w:rPr>
                <w:rFonts w:eastAsiaTheme="minorEastAsia"/>
                <w:szCs w:val="21"/>
              </w:rPr>
            </w:pPr>
            <w:r>
              <w:rPr>
                <w:rFonts w:eastAsiaTheme="minorEastAsia"/>
                <w:szCs w:val="21"/>
              </w:rPr>
              <w:t>2015</w:t>
            </w:r>
            <w:r>
              <w:rPr>
                <w:rFonts w:hint="eastAsia" w:eastAsiaTheme="minorEastAsia"/>
                <w:szCs w:val="21"/>
              </w:rPr>
              <w:t>.</w:t>
            </w:r>
            <w:r>
              <w:rPr>
                <w:rFonts w:eastAsiaTheme="minorEastAsia"/>
                <w:szCs w:val="21"/>
              </w:rPr>
              <w:t>01-2017</w:t>
            </w:r>
            <w:r>
              <w:rPr>
                <w:rFonts w:hint="eastAsia" w:eastAsiaTheme="minorEastAsia"/>
                <w:szCs w:val="21"/>
              </w:rPr>
              <w:t>.</w:t>
            </w:r>
            <w:r>
              <w:rPr>
                <w:rFonts w:eastAsiaTheme="minorEastAsia"/>
                <w:szCs w:val="21"/>
              </w:rPr>
              <w:t>12</w:t>
            </w:r>
          </w:p>
        </w:tc>
        <w:tc>
          <w:tcPr>
            <w:tcW w:w="712" w:type="dxa"/>
            <w:vAlign w:val="center"/>
          </w:tcPr>
          <w:p>
            <w:pPr>
              <w:jc w:val="center"/>
              <w:rPr>
                <w:rFonts w:eastAsiaTheme="minorEastAsia"/>
                <w:kern w:val="0"/>
                <w:szCs w:val="21"/>
              </w:rPr>
            </w:pPr>
            <w:r>
              <w:rPr>
                <w:rFonts w:eastAsiaTheme="minorEastAsia"/>
                <w:kern w:val="0"/>
                <w:szCs w:val="21"/>
              </w:rPr>
              <w:t>23</w:t>
            </w:r>
          </w:p>
        </w:tc>
        <w:tc>
          <w:tcPr>
            <w:tcW w:w="1799" w:type="dxa"/>
            <w:vAlign w:val="center"/>
          </w:tcPr>
          <w:p>
            <w:pPr>
              <w:rPr>
                <w:rFonts w:eastAsiaTheme="minorEastAsia"/>
                <w:kern w:val="0"/>
                <w:szCs w:val="21"/>
              </w:rPr>
            </w:pPr>
            <w:r>
              <w:rPr>
                <w:rFonts w:eastAsiaTheme="minorEastAsia"/>
                <w:szCs w:val="21"/>
              </w:rPr>
              <w:t>国家自然科学基金青年科学基金项目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309" w:rightChars="-147" w:hanging="462" w:firstLineChars="0"/>
              <w:jc w:val="center"/>
              <w:rPr>
                <w:rFonts w:eastAsiaTheme="minorEastAsia"/>
                <w:szCs w:val="21"/>
              </w:rPr>
            </w:pPr>
          </w:p>
        </w:tc>
        <w:tc>
          <w:tcPr>
            <w:tcW w:w="2807" w:type="dxa"/>
            <w:vAlign w:val="center"/>
          </w:tcPr>
          <w:p>
            <w:pPr>
              <w:rPr>
                <w:rFonts w:eastAsiaTheme="minorEastAsia"/>
                <w:kern w:val="0"/>
                <w:szCs w:val="21"/>
              </w:rPr>
            </w:pPr>
            <w:r>
              <w:rPr>
                <w:rFonts w:eastAsiaTheme="minorEastAsia"/>
                <w:kern w:val="0"/>
                <w:szCs w:val="21"/>
              </w:rPr>
              <w:t>广西产定心藤属植物中新颖结构β-咔啉生物碱的发现及其抗肿瘤活性研究</w:t>
            </w:r>
          </w:p>
        </w:tc>
        <w:tc>
          <w:tcPr>
            <w:tcW w:w="1286" w:type="dxa"/>
            <w:vAlign w:val="center"/>
          </w:tcPr>
          <w:p>
            <w:pPr>
              <w:jc w:val="center"/>
              <w:rPr>
                <w:rFonts w:eastAsiaTheme="minorEastAsia"/>
                <w:kern w:val="0"/>
                <w:szCs w:val="21"/>
              </w:rPr>
            </w:pPr>
            <w:r>
              <w:rPr>
                <w:rFonts w:eastAsiaTheme="minorEastAsia"/>
                <w:szCs w:val="21"/>
              </w:rPr>
              <w:t>81402817</w:t>
            </w:r>
          </w:p>
        </w:tc>
        <w:tc>
          <w:tcPr>
            <w:tcW w:w="955" w:type="dxa"/>
            <w:vAlign w:val="center"/>
          </w:tcPr>
          <w:p>
            <w:pPr>
              <w:jc w:val="center"/>
              <w:rPr>
                <w:rFonts w:eastAsiaTheme="minorEastAsia"/>
                <w:kern w:val="0"/>
                <w:szCs w:val="21"/>
              </w:rPr>
            </w:pPr>
            <w:r>
              <w:rPr>
                <w:rFonts w:eastAsiaTheme="minorEastAsia"/>
                <w:kern w:val="0"/>
                <w:szCs w:val="21"/>
              </w:rPr>
              <w:t>梁东</w:t>
            </w:r>
          </w:p>
        </w:tc>
        <w:tc>
          <w:tcPr>
            <w:tcW w:w="901" w:type="dxa"/>
            <w:vAlign w:val="center"/>
          </w:tcPr>
          <w:p>
            <w:pPr>
              <w:jc w:val="center"/>
              <w:rPr>
                <w:rFonts w:eastAsiaTheme="minorEastAsia"/>
                <w:kern w:val="0"/>
                <w:szCs w:val="21"/>
              </w:rPr>
            </w:pPr>
            <w:r>
              <w:rPr>
                <w:rFonts w:eastAsiaTheme="minorEastAsia"/>
                <w:szCs w:val="21"/>
              </w:rPr>
              <w:t>2015</w:t>
            </w:r>
            <w:r>
              <w:rPr>
                <w:rFonts w:hint="eastAsia" w:eastAsiaTheme="minorEastAsia"/>
                <w:szCs w:val="21"/>
              </w:rPr>
              <w:t>.</w:t>
            </w:r>
            <w:r>
              <w:rPr>
                <w:rFonts w:eastAsiaTheme="minorEastAsia"/>
                <w:szCs w:val="21"/>
              </w:rPr>
              <w:t>01-2017</w:t>
            </w:r>
            <w:r>
              <w:rPr>
                <w:rFonts w:hint="eastAsia" w:eastAsiaTheme="minorEastAsia"/>
                <w:szCs w:val="21"/>
              </w:rPr>
              <w:t>.</w:t>
            </w:r>
            <w:r>
              <w:rPr>
                <w:rFonts w:eastAsiaTheme="minorEastAsia"/>
                <w:szCs w:val="21"/>
              </w:rPr>
              <w:t>12</w:t>
            </w:r>
          </w:p>
        </w:tc>
        <w:tc>
          <w:tcPr>
            <w:tcW w:w="712" w:type="dxa"/>
            <w:vAlign w:val="center"/>
          </w:tcPr>
          <w:p>
            <w:pPr>
              <w:jc w:val="center"/>
              <w:rPr>
                <w:rFonts w:eastAsiaTheme="minorEastAsia"/>
                <w:kern w:val="0"/>
                <w:szCs w:val="21"/>
              </w:rPr>
            </w:pPr>
            <w:r>
              <w:rPr>
                <w:rFonts w:eastAsiaTheme="minorEastAsia"/>
                <w:kern w:val="0"/>
                <w:szCs w:val="21"/>
              </w:rPr>
              <w:t>24</w:t>
            </w:r>
          </w:p>
        </w:tc>
        <w:tc>
          <w:tcPr>
            <w:tcW w:w="1799" w:type="dxa"/>
            <w:vAlign w:val="center"/>
          </w:tcPr>
          <w:p>
            <w:pPr>
              <w:rPr>
                <w:rFonts w:eastAsiaTheme="minorEastAsia"/>
                <w:kern w:val="0"/>
                <w:szCs w:val="21"/>
              </w:rPr>
            </w:pPr>
            <w:r>
              <w:rPr>
                <w:rFonts w:eastAsiaTheme="minorEastAsia"/>
                <w:szCs w:val="21"/>
              </w:rPr>
              <w:t>国家自然科学基金青年科学基金项目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309" w:rightChars="-147" w:hanging="462" w:firstLineChars="0"/>
              <w:jc w:val="center"/>
              <w:rPr>
                <w:rFonts w:eastAsiaTheme="minorEastAsia"/>
                <w:szCs w:val="21"/>
              </w:rPr>
            </w:pPr>
          </w:p>
        </w:tc>
        <w:tc>
          <w:tcPr>
            <w:tcW w:w="2807" w:type="dxa"/>
            <w:vAlign w:val="center"/>
          </w:tcPr>
          <w:p>
            <w:pPr>
              <w:ind w:left="-92" w:leftChars="-44" w:firstLine="92" w:firstLineChars="44"/>
              <w:rPr>
                <w:rFonts w:eastAsiaTheme="minorEastAsia"/>
                <w:kern w:val="0"/>
                <w:szCs w:val="21"/>
              </w:rPr>
            </w:pPr>
            <w:r>
              <w:rPr>
                <w:rFonts w:hint="eastAsia"/>
                <w:szCs w:val="21"/>
              </w:rPr>
              <w:t>天然活性物质的发现、结构改造与功能</w:t>
            </w:r>
          </w:p>
        </w:tc>
        <w:tc>
          <w:tcPr>
            <w:tcW w:w="1286" w:type="dxa"/>
            <w:vAlign w:val="center"/>
          </w:tcPr>
          <w:p>
            <w:pPr>
              <w:jc w:val="center"/>
              <w:rPr>
                <w:rFonts w:eastAsiaTheme="minorEastAsia"/>
                <w:kern w:val="0"/>
                <w:szCs w:val="21"/>
              </w:rPr>
            </w:pPr>
            <w:r>
              <w:rPr>
                <w:szCs w:val="21"/>
              </w:rPr>
              <w:t>IRT1225</w:t>
            </w:r>
          </w:p>
        </w:tc>
        <w:tc>
          <w:tcPr>
            <w:tcW w:w="955" w:type="dxa"/>
            <w:vAlign w:val="center"/>
          </w:tcPr>
          <w:p>
            <w:pPr>
              <w:jc w:val="center"/>
              <w:rPr>
                <w:rFonts w:eastAsiaTheme="minorEastAsia"/>
                <w:kern w:val="0"/>
                <w:szCs w:val="21"/>
              </w:rPr>
            </w:pPr>
            <w:r>
              <w:rPr>
                <w:szCs w:val="21"/>
              </w:rPr>
              <w:t>陈振锋</w:t>
            </w:r>
          </w:p>
        </w:tc>
        <w:tc>
          <w:tcPr>
            <w:tcW w:w="901" w:type="dxa"/>
            <w:vAlign w:val="center"/>
          </w:tcPr>
          <w:p>
            <w:pPr>
              <w:jc w:val="center"/>
              <w:rPr>
                <w:rFonts w:eastAsiaTheme="minorEastAsia"/>
                <w:szCs w:val="21"/>
              </w:rPr>
            </w:pPr>
            <w:r>
              <w:rPr>
                <w:szCs w:val="21"/>
              </w:rPr>
              <w:t>2013</w:t>
            </w:r>
            <w:r>
              <w:rPr>
                <w:rFonts w:hint="eastAsia"/>
                <w:szCs w:val="21"/>
              </w:rPr>
              <w:t>.</w:t>
            </w:r>
            <w:r>
              <w:rPr>
                <w:szCs w:val="21"/>
              </w:rPr>
              <w:t>01-2016</w:t>
            </w:r>
            <w:r>
              <w:rPr>
                <w:rFonts w:hint="eastAsia"/>
                <w:szCs w:val="21"/>
              </w:rPr>
              <w:t>.</w:t>
            </w:r>
            <w:r>
              <w:rPr>
                <w:szCs w:val="21"/>
              </w:rPr>
              <w:t>12-2016.12-</w:t>
            </w:r>
          </w:p>
        </w:tc>
        <w:tc>
          <w:tcPr>
            <w:tcW w:w="712" w:type="dxa"/>
            <w:vAlign w:val="center"/>
          </w:tcPr>
          <w:p>
            <w:pPr>
              <w:jc w:val="center"/>
              <w:rPr>
                <w:rFonts w:eastAsiaTheme="minorEastAsia"/>
                <w:kern w:val="0"/>
                <w:szCs w:val="21"/>
              </w:rPr>
            </w:pPr>
            <w:r>
              <w:rPr>
                <w:rFonts w:hint="eastAsia" w:eastAsiaTheme="minorEastAsia"/>
                <w:kern w:val="0"/>
                <w:szCs w:val="21"/>
              </w:rPr>
              <w:t>450</w:t>
            </w:r>
          </w:p>
          <w:p>
            <w:pPr>
              <w:jc w:val="center"/>
              <w:rPr>
                <w:rFonts w:eastAsiaTheme="minorEastAsia"/>
                <w:kern w:val="0"/>
                <w:szCs w:val="21"/>
              </w:rPr>
            </w:pPr>
            <w:r>
              <w:rPr>
                <w:rFonts w:hint="eastAsia" w:eastAsiaTheme="minorEastAsia"/>
                <w:kern w:val="0"/>
                <w:szCs w:val="21"/>
              </w:rPr>
              <w:t>+300</w:t>
            </w:r>
          </w:p>
        </w:tc>
        <w:tc>
          <w:tcPr>
            <w:tcW w:w="1799" w:type="dxa"/>
            <w:vAlign w:val="center"/>
          </w:tcPr>
          <w:p>
            <w:pPr>
              <w:rPr>
                <w:rFonts w:eastAsiaTheme="minorEastAsia"/>
                <w:kern w:val="0"/>
                <w:szCs w:val="21"/>
              </w:rPr>
            </w:pPr>
            <w:r>
              <w:rPr>
                <w:szCs w:val="21"/>
              </w:rPr>
              <w:t>教育部创新团队项目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309" w:rightChars="-147" w:hanging="462" w:firstLineChars="0"/>
              <w:jc w:val="center"/>
              <w:rPr>
                <w:rFonts w:eastAsiaTheme="minorEastAsia"/>
                <w:szCs w:val="21"/>
              </w:rPr>
            </w:pPr>
          </w:p>
        </w:tc>
        <w:tc>
          <w:tcPr>
            <w:tcW w:w="2807" w:type="dxa"/>
            <w:vAlign w:val="center"/>
          </w:tcPr>
          <w:p>
            <w:pPr>
              <w:ind w:left="-92" w:leftChars="-44" w:firstLine="92" w:firstLineChars="44"/>
              <w:rPr>
                <w:rFonts w:eastAsiaTheme="minorEastAsia"/>
                <w:kern w:val="0"/>
                <w:szCs w:val="21"/>
              </w:rPr>
            </w:pPr>
            <w:r>
              <w:rPr>
                <w:rFonts w:hint="eastAsia" w:eastAsiaTheme="minorEastAsia"/>
                <w:kern w:val="0"/>
                <w:szCs w:val="21"/>
              </w:rPr>
              <w:t>中药活性成分无机药物及载运体系研究</w:t>
            </w:r>
          </w:p>
        </w:tc>
        <w:tc>
          <w:tcPr>
            <w:tcW w:w="1286" w:type="dxa"/>
            <w:vAlign w:val="center"/>
          </w:tcPr>
          <w:p>
            <w:pPr>
              <w:jc w:val="center"/>
              <w:rPr>
                <w:rFonts w:eastAsiaTheme="minorEastAsia"/>
                <w:kern w:val="0"/>
                <w:szCs w:val="21"/>
              </w:rPr>
            </w:pPr>
            <w:r>
              <w:rPr>
                <w:rFonts w:hint="eastAsia" w:eastAsiaTheme="minorEastAsia"/>
                <w:kern w:val="0"/>
                <w:szCs w:val="21"/>
              </w:rPr>
              <w:t>桂科AD17</w:t>
            </w:r>
          </w:p>
          <w:p>
            <w:pPr>
              <w:jc w:val="center"/>
              <w:rPr>
                <w:rFonts w:eastAsiaTheme="minorEastAsia"/>
                <w:kern w:val="0"/>
                <w:szCs w:val="21"/>
              </w:rPr>
            </w:pPr>
            <w:r>
              <w:rPr>
                <w:rFonts w:hint="eastAsia" w:eastAsiaTheme="minorEastAsia"/>
                <w:kern w:val="0"/>
                <w:szCs w:val="21"/>
              </w:rPr>
              <w:t>129007</w:t>
            </w:r>
          </w:p>
        </w:tc>
        <w:tc>
          <w:tcPr>
            <w:tcW w:w="955" w:type="dxa"/>
            <w:vAlign w:val="center"/>
          </w:tcPr>
          <w:p>
            <w:pPr>
              <w:jc w:val="center"/>
              <w:rPr>
                <w:rFonts w:eastAsiaTheme="minorEastAsia"/>
                <w:kern w:val="0"/>
                <w:szCs w:val="21"/>
              </w:rPr>
            </w:pPr>
            <w:r>
              <w:rPr>
                <w:rFonts w:hint="eastAsia" w:eastAsiaTheme="minorEastAsia"/>
                <w:kern w:val="0"/>
                <w:szCs w:val="21"/>
              </w:rPr>
              <w:t>梁宏</w:t>
            </w:r>
          </w:p>
        </w:tc>
        <w:tc>
          <w:tcPr>
            <w:tcW w:w="901" w:type="dxa"/>
            <w:vAlign w:val="center"/>
          </w:tcPr>
          <w:p>
            <w:pPr>
              <w:jc w:val="center"/>
              <w:rPr>
                <w:rFonts w:eastAsiaTheme="minorEastAsia"/>
                <w:szCs w:val="21"/>
              </w:rPr>
            </w:pPr>
            <w:r>
              <w:rPr>
                <w:szCs w:val="21"/>
              </w:rPr>
              <w:t>201</w:t>
            </w:r>
            <w:r>
              <w:rPr>
                <w:rFonts w:hint="eastAsia"/>
                <w:szCs w:val="21"/>
              </w:rPr>
              <w:t>7.</w:t>
            </w:r>
            <w:r>
              <w:rPr>
                <w:szCs w:val="21"/>
              </w:rPr>
              <w:t>0</w:t>
            </w:r>
            <w:r>
              <w:rPr>
                <w:rFonts w:hint="eastAsia"/>
                <w:szCs w:val="21"/>
              </w:rPr>
              <w:t>7</w:t>
            </w:r>
            <w:r>
              <w:rPr>
                <w:szCs w:val="21"/>
              </w:rPr>
              <w:t>-20</w:t>
            </w:r>
            <w:r>
              <w:rPr>
                <w:rFonts w:hint="eastAsia"/>
                <w:szCs w:val="21"/>
              </w:rPr>
              <w:t>22.06</w:t>
            </w:r>
          </w:p>
        </w:tc>
        <w:tc>
          <w:tcPr>
            <w:tcW w:w="712" w:type="dxa"/>
            <w:vAlign w:val="center"/>
          </w:tcPr>
          <w:p>
            <w:pPr>
              <w:jc w:val="center"/>
              <w:rPr>
                <w:rFonts w:eastAsiaTheme="minorEastAsia"/>
                <w:kern w:val="0"/>
                <w:szCs w:val="21"/>
              </w:rPr>
            </w:pPr>
            <w:r>
              <w:rPr>
                <w:rFonts w:hint="eastAsia" w:eastAsiaTheme="minorEastAsia"/>
                <w:kern w:val="0"/>
                <w:szCs w:val="21"/>
              </w:rPr>
              <w:t>1500</w:t>
            </w:r>
          </w:p>
        </w:tc>
        <w:tc>
          <w:tcPr>
            <w:tcW w:w="1799" w:type="dxa"/>
            <w:vAlign w:val="center"/>
          </w:tcPr>
          <w:p>
            <w:pPr>
              <w:rPr>
                <w:rFonts w:eastAsiaTheme="minorEastAsia"/>
                <w:kern w:val="0"/>
                <w:szCs w:val="21"/>
              </w:rPr>
            </w:pPr>
            <w:r>
              <w:rPr>
                <w:rFonts w:hint="eastAsia" w:eastAsiaTheme="minorEastAsia"/>
                <w:kern w:val="0"/>
                <w:szCs w:val="21"/>
              </w:rPr>
              <w:t>广西科技基地与人才专项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309" w:rightChars="-147" w:hanging="462" w:firstLineChars="0"/>
              <w:jc w:val="center"/>
              <w:rPr>
                <w:rFonts w:eastAsiaTheme="minorEastAsia"/>
                <w:szCs w:val="21"/>
              </w:rPr>
            </w:pPr>
          </w:p>
        </w:tc>
        <w:tc>
          <w:tcPr>
            <w:tcW w:w="2807" w:type="dxa"/>
            <w:vAlign w:val="center"/>
          </w:tcPr>
          <w:p>
            <w:pPr>
              <w:ind w:left="-34" w:leftChars="-16"/>
              <w:rPr>
                <w:rFonts w:eastAsiaTheme="minorEastAsia"/>
                <w:szCs w:val="21"/>
              </w:rPr>
            </w:pPr>
            <w:r>
              <w:rPr>
                <w:rFonts w:hint="eastAsia" w:eastAsiaTheme="minorEastAsia"/>
                <w:szCs w:val="21"/>
              </w:rPr>
              <w:t>天然活性化合物的发现、结构改造与抗肿瘤活性研究</w:t>
            </w:r>
          </w:p>
        </w:tc>
        <w:tc>
          <w:tcPr>
            <w:tcW w:w="1286" w:type="dxa"/>
            <w:vAlign w:val="center"/>
          </w:tcPr>
          <w:p>
            <w:pPr>
              <w:jc w:val="center"/>
              <w:rPr>
                <w:rFonts w:eastAsiaTheme="minorEastAsia"/>
                <w:szCs w:val="21"/>
              </w:rPr>
            </w:pPr>
            <w:r>
              <w:rPr>
                <w:rFonts w:eastAsia="华文中宋"/>
                <w:szCs w:val="21"/>
              </w:rPr>
              <w:t>2016GXNSFGA380005</w:t>
            </w:r>
          </w:p>
        </w:tc>
        <w:tc>
          <w:tcPr>
            <w:tcW w:w="955" w:type="dxa"/>
            <w:vAlign w:val="center"/>
          </w:tcPr>
          <w:p>
            <w:pPr>
              <w:ind w:left="-34" w:leftChars="-16"/>
              <w:jc w:val="center"/>
              <w:rPr>
                <w:rFonts w:eastAsiaTheme="minorEastAsia"/>
                <w:szCs w:val="21"/>
              </w:rPr>
            </w:pPr>
            <w:r>
              <w:rPr>
                <w:rFonts w:hint="eastAsia" w:eastAsiaTheme="minorEastAsia"/>
                <w:szCs w:val="21"/>
              </w:rPr>
              <w:t>陈振锋</w:t>
            </w:r>
          </w:p>
        </w:tc>
        <w:tc>
          <w:tcPr>
            <w:tcW w:w="901" w:type="dxa"/>
            <w:vAlign w:val="center"/>
          </w:tcPr>
          <w:p>
            <w:pPr>
              <w:adjustRightInd w:val="0"/>
              <w:snapToGrid w:val="0"/>
              <w:ind w:left="-55" w:leftChars="-30" w:right="-17" w:rightChars="-8" w:hanging="8"/>
              <w:jc w:val="center"/>
              <w:rPr>
                <w:rFonts w:eastAsiaTheme="minorEastAsia"/>
                <w:szCs w:val="21"/>
              </w:rPr>
            </w:pPr>
            <w:r>
              <w:rPr>
                <w:rFonts w:eastAsiaTheme="minorEastAsia"/>
                <w:szCs w:val="21"/>
              </w:rPr>
              <w:t>2016</w:t>
            </w:r>
            <w:r>
              <w:rPr>
                <w:rFonts w:hint="eastAsia" w:eastAsiaTheme="minorEastAsia"/>
                <w:szCs w:val="21"/>
              </w:rPr>
              <w:t>.</w:t>
            </w:r>
            <w:r>
              <w:rPr>
                <w:rFonts w:eastAsiaTheme="minorEastAsia"/>
                <w:szCs w:val="21"/>
              </w:rPr>
              <w:t>09-</w:t>
            </w:r>
          </w:p>
          <w:p>
            <w:pPr>
              <w:adjustRightInd w:val="0"/>
              <w:snapToGrid w:val="0"/>
              <w:ind w:left="-55" w:leftChars="-30" w:right="-17" w:rightChars="-8" w:hanging="8"/>
              <w:jc w:val="center"/>
              <w:rPr>
                <w:rFonts w:eastAsiaTheme="minorEastAsia"/>
                <w:szCs w:val="21"/>
              </w:rPr>
            </w:pPr>
            <w:r>
              <w:rPr>
                <w:rFonts w:eastAsiaTheme="minorEastAsia"/>
                <w:szCs w:val="21"/>
              </w:rPr>
              <w:t>2019</w:t>
            </w:r>
            <w:r>
              <w:rPr>
                <w:rFonts w:hint="eastAsia" w:eastAsiaTheme="minorEastAsia"/>
                <w:szCs w:val="21"/>
              </w:rPr>
              <w:t>.</w:t>
            </w:r>
            <w:r>
              <w:rPr>
                <w:rFonts w:eastAsiaTheme="minorEastAsia"/>
                <w:szCs w:val="21"/>
              </w:rPr>
              <w:t>08</w:t>
            </w:r>
          </w:p>
        </w:tc>
        <w:tc>
          <w:tcPr>
            <w:tcW w:w="712" w:type="dxa"/>
            <w:vAlign w:val="center"/>
          </w:tcPr>
          <w:p>
            <w:pPr>
              <w:ind w:left="-34" w:leftChars="-16" w:right="-92" w:rightChars="-44"/>
              <w:jc w:val="center"/>
              <w:rPr>
                <w:rFonts w:eastAsiaTheme="minorEastAsia"/>
                <w:szCs w:val="21"/>
              </w:rPr>
            </w:pPr>
            <w:r>
              <w:rPr>
                <w:rFonts w:hint="eastAsia" w:eastAsiaTheme="minorEastAsia"/>
                <w:szCs w:val="21"/>
              </w:rPr>
              <w:t>200</w:t>
            </w:r>
          </w:p>
        </w:tc>
        <w:tc>
          <w:tcPr>
            <w:tcW w:w="1799" w:type="dxa"/>
            <w:vAlign w:val="center"/>
          </w:tcPr>
          <w:p>
            <w:pPr>
              <w:ind w:left="-34" w:leftChars="-16" w:right="-92" w:rightChars="-44"/>
              <w:rPr>
                <w:rFonts w:eastAsiaTheme="minorEastAsia"/>
                <w:szCs w:val="21"/>
              </w:rPr>
            </w:pPr>
            <w:r>
              <w:rPr>
                <w:rFonts w:hint="eastAsia" w:eastAsiaTheme="minorEastAsia"/>
                <w:szCs w:val="21"/>
              </w:rPr>
              <w:t>广西自然科学基金创新研究团队项目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309" w:rightChars="-147" w:hanging="462" w:firstLineChars="0"/>
              <w:jc w:val="center"/>
              <w:rPr>
                <w:rFonts w:eastAsiaTheme="minorEastAsia"/>
                <w:szCs w:val="21"/>
              </w:rPr>
            </w:pPr>
          </w:p>
        </w:tc>
        <w:tc>
          <w:tcPr>
            <w:tcW w:w="2807" w:type="dxa"/>
            <w:vAlign w:val="center"/>
          </w:tcPr>
          <w:p>
            <w:pPr>
              <w:ind w:left="-34" w:leftChars="-16" w:right="-92" w:rightChars="-44"/>
              <w:rPr>
                <w:rFonts w:eastAsiaTheme="minorEastAsia"/>
                <w:szCs w:val="21"/>
              </w:rPr>
            </w:pPr>
            <w:r>
              <w:rPr>
                <w:rFonts w:hint="eastAsia" w:eastAsiaTheme="minorEastAsia"/>
                <w:szCs w:val="21"/>
              </w:rPr>
              <w:t>纳米生物材料的仿生构筑与智能响应</w:t>
            </w:r>
          </w:p>
        </w:tc>
        <w:tc>
          <w:tcPr>
            <w:tcW w:w="1286" w:type="dxa"/>
            <w:vAlign w:val="center"/>
          </w:tcPr>
          <w:p>
            <w:pPr>
              <w:jc w:val="center"/>
              <w:rPr>
                <w:rFonts w:eastAsiaTheme="minorEastAsia"/>
                <w:szCs w:val="21"/>
              </w:rPr>
            </w:pPr>
            <w:r>
              <w:rPr>
                <w:rFonts w:eastAsia="华文中宋"/>
                <w:szCs w:val="21"/>
              </w:rPr>
              <w:t>2017GXNSFGA198004</w:t>
            </w:r>
          </w:p>
        </w:tc>
        <w:tc>
          <w:tcPr>
            <w:tcW w:w="955" w:type="dxa"/>
            <w:vAlign w:val="center"/>
          </w:tcPr>
          <w:p>
            <w:pPr>
              <w:ind w:left="-34" w:leftChars="-16"/>
              <w:jc w:val="center"/>
              <w:rPr>
                <w:rFonts w:eastAsiaTheme="minorEastAsia"/>
                <w:szCs w:val="21"/>
              </w:rPr>
            </w:pPr>
            <w:r>
              <w:rPr>
                <w:rFonts w:hint="eastAsia" w:eastAsiaTheme="minorEastAsia"/>
                <w:szCs w:val="21"/>
              </w:rPr>
              <w:t>沈星灿</w:t>
            </w:r>
          </w:p>
        </w:tc>
        <w:tc>
          <w:tcPr>
            <w:tcW w:w="901" w:type="dxa"/>
            <w:vAlign w:val="center"/>
          </w:tcPr>
          <w:p>
            <w:pPr>
              <w:adjustRightInd w:val="0"/>
              <w:snapToGrid w:val="0"/>
              <w:ind w:left="-55" w:leftChars="-30" w:right="-17" w:rightChars="-8" w:hanging="8"/>
              <w:jc w:val="center"/>
              <w:rPr>
                <w:rFonts w:eastAsiaTheme="minorEastAsia"/>
                <w:szCs w:val="21"/>
              </w:rPr>
            </w:pPr>
            <w:r>
              <w:rPr>
                <w:rFonts w:eastAsiaTheme="minorEastAsia"/>
                <w:szCs w:val="21"/>
              </w:rPr>
              <w:t>2017</w:t>
            </w:r>
            <w:r>
              <w:rPr>
                <w:rFonts w:hint="eastAsia" w:eastAsiaTheme="minorEastAsia"/>
                <w:szCs w:val="21"/>
              </w:rPr>
              <w:t>.</w:t>
            </w:r>
            <w:r>
              <w:rPr>
                <w:rFonts w:eastAsiaTheme="minorEastAsia"/>
                <w:szCs w:val="21"/>
              </w:rPr>
              <w:t>01-</w:t>
            </w:r>
          </w:p>
          <w:p>
            <w:pPr>
              <w:adjustRightInd w:val="0"/>
              <w:snapToGrid w:val="0"/>
              <w:ind w:left="-55" w:leftChars="-30" w:right="-17" w:rightChars="-8" w:hanging="8"/>
              <w:jc w:val="center"/>
              <w:rPr>
                <w:rFonts w:eastAsiaTheme="minorEastAsia"/>
                <w:szCs w:val="21"/>
              </w:rPr>
            </w:pPr>
            <w:r>
              <w:rPr>
                <w:rFonts w:eastAsiaTheme="minorEastAsia"/>
                <w:szCs w:val="21"/>
              </w:rPr>
              <w:t>202</w:t>
            </w:r>
            <w:r>
              <w:rPr>
                <w:rFonts w:hint="eastAsia" w:eastAsiaTheme="minorEastAsia"/>
                <w:szCs w:val="21"/>
              </w:rPr>
              <w:t>0.</w:t>
            </w:r>
            <w:r>
              <w:rPr>
                <w:rFonts w:eastAsiaTheme="minorEastAsia"/>
                <w:szCs w:val="21"/>
              </w:rPr>
              <w:t>12</w:t>
            </w:r>
          </w:p>
        </w:tc>
        <w:tc>
          <w:tcPr>
            <w:tcW w:w="712" w:type="dxa"/>
            <w:vAlign w:val="center"/>
          </w:tcPr>
          <w:p>
            <w:pPr>
              <w:ind w:left="-34" w:leftChars="-16" w:right="-92" w:rightChars="-44"/>
              <w:jc w:val="center"/>
              <w:rPr>
                <w:rFonts w:eastAsiaTheme="minorEastAsia"/>
                <w:szCs w:val="21"/>
              </w:rPr>
            </w:pPr>
            <w:r>
              <w:rPr>
                <w:rFonts w:hint="eastAsia" w:eastAsiaTheme="minorEastAsia"/>
                <w:szCs w:val="21"/>
              </w:rPr>
              <w:t>200</w:t>
            </w:r>
          </w:p>
        </w:tc>
        <w:tc>
          <w:tcPr>
            <w:tcW w:w="1799" w:type="dxa"/>
            <w:vAlign w:val="center"/>
          </w:tcPr>
          <w:p>
            <w:pPr>
              <w:ind w:left="-34" w:leftChars="-16" w:right="-92" w:rightChars="-44"/>
              <w:rPr>
                <w:rFonts w:eastAsiaTheme="minorEastAsia"/>
                <w:szCs w:val="21"/>
              </w:rPr>
            </w:pPr>
            <w:r>
              <w:rPr>
                <w:rFonts w:hint="eastAsia" w:eastAsiaTheme="minorEastAsia"/>
                <w:szCs w:val="21"/>
              </w:rPr>
              <w:t>广西自然科学基金创新研究团队项目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309" w:rightChars="-147" w:hanging="462" w:firstLineChars="0"/>
              <w:jc w:val="center"/>
              <w:rPr>
                <w:rFonts w:eastAsiaTheme="minorEastAsia"/>
                <w:szCs w:val="21"/>
              </w:rPr>
            </w:pPr>
          </w:p>
        </w:tc>
        <w:tc>
          <w:tcPr>
            <w:tcW w:w="2807" w:type="dxa"/>
            <w:vAlign w:val="center"/>
          </w:tcPr>
          <w:p>
            <w:pPr>
              <w:ind w:left="-34" w:leftChars="-16"/>
              <w:rPr>
                <w:rFonts w:eastAsiaTheme="minorEastAsia"/>
                <w:szCs w:val="21"/>
              </w:rPr>
            </w:pPr>
            <w:r>
              <w:rPr>
                <w:rFonts w:hint="eastAsia" w:eastAsiaTheme="minorEastAsia"/>
                <w:szCs w:val="21"/>
              </w:rPr>
              <w:t>抑制Bcl-xL蛋白活性金属药物的HSA递送体系的研究</w:t>
            </w:r>
          </w:p>
        </w:tc>
        <w:tc>
          <w:tcPr>
            <w:tcW w:w="1286" w:type="dxa"/>
            <w:vAlign w:val="center"/>
          </w:tcPr>
          <w:p>
            <w:pPr>
              <w:jc w:val="center"/>
              <w:rPr>
                <w:rFonts w:eastAsiaTheme="minorEastAsia"/>
                <w:szCs w:val="21"/>
              </w:rPr>
            </w:pPr>
            <w:r>
              <w:rPr>
                <w:rFonts w:eastAsia="华文中宋"/>
                <w:szCs w:val="21"/>
              </w:rPr>
              <w:t>2017GXNSFEA198002</w:t>
            </w:r>
          </w:p>
        </w:tc>
        <w:tc>
          <w:tcPr>
            <w:tcW w:w="955" w:type="dxa"/>
            <w:vAlign w:val="center"/>
          </w:tcPr>
          <w:p>
            <w:pPr>
              <w:ind w:left="-34" w:leftChars="-16"/>
              <w:jc w:val="center"/>
              <w:rPr>
                <w:rFonts w:eastAsiaTheme="minorEastAsia"/>
                <w:szCs w:val="21"/>
              </w:rPr>
            </w:pPr>
            <w:r>
              <w:rPr>
                <w:rFonts w:eastAsiaTheme="minorEastAsia"/>
                <w:szCs w:val="21"/>
              </w:rPr>
              <w:t>杨峰</w:t>
            </w:r>
          </w:p>
        </w:tc>
        <w:tc>
          <w:tcPr>
            <w:tcW w:w="901" w:type="dxa"/>
            <w:vAlign w:val="center"/>
          </w:tcPr>
          <w:p>
            <w:pPr>
              <w:adjustRightInd w:val="0"/>
              <w:snapToGrid w:val="0"/>
              <w:ind w:left="-55" w:leftChars="-30" w:right="-17" w:rightChars="-8" w:hanging="8"/>
              <w:jc w:val="center"/>
              <w:rPr>
                <w:rFonts w:eastAsiaTheme="minorEastAsia"/>
                <w:szCs w:val="21"/>
              </w:rPr>
            </w:pPr>
            <w:r>
              <w:rPr>
                <w:rFonts w:eastAsiaTheme="minorEastAsia"/>
                <w:szCs w:val="21"/>
              </w:rPr>
              <w:t>2017</w:t>
            </w:r>
            <w:r>
              <w:rPr>
                <w:rFonts w:hint="eastAsia" w:eastAsiaTheme="minorEastAsia"/>
                <w:szCs w:val="21"/>
              </w:rPr>
              <w:t>.</w:t>
            </w:r>
            <w:r>
              <w:rPr>
                <w:rFonts w:eastAsiaTheme="minorEastAsia"/>
                <w:szCs w:val="21"/>
              </w:rPr>
              <w:t>09-</w:t>
            </w:r>
          </w:p>
          <w:p>
            <w:pPr>
              <w:adjustRightInd w:val="0"/>
              <w:snapToGrid w:val="0"/>
              <w:ind w:left="-55" w:leftChars="-30" w:right="-17" w:rightChars="-8" w:hanging="8"/>
              <w:jc w:val="center"/>
              <w:rPr>
                <w:rFonts w:eastAsiaTheme="minorEastAsia"/>
                <w:szCs w:val="21"/>
              </w:rPr>
            </w:pPr>
            <w:r>
              <w:rPr>
                <w:rFonts w:eastAsiaTheme="minorEastAsia"/>
                <w:szCs w:val="21"/>
              </w:rPr>
              <w:t>2021</w:t>
            </w:r>
            <w:r>
              <w:rPr>
                <w:rFonts w:hint="eastAsia" w:eastAsiaTheme="minorEastAsia"/>
                <w:szCs w:val="21"/>
              </w:rPr>
              <w:t>.</w:t>
            </w:r>
            <w:r>
              <w:rPr>
                <w:rFonts w:eastAsiaTheme="minorEastAsia"/>
                <w:szCs w:val="21"/>
              </w:rPr>
              <w:t>08</w:t>
            </w:r>
          </w:p>
        </w:tc>
        <w:tc>
          <w:tcPr>
            <w:tcW w:w="712" w:type="dxa"/>
            <w:vAlign w:val="center"/>
          </w:tcPr>
          <w:p>
            <w:pPr>
              <w:ind w:left="-34" w:leftChars="-16" w:right="-92" w:rightChars="-44"/>
              <w:jc w:val="center"/>
              <w:rPr>
                <w:rFonts w:eastAsiaTheme="minorEastAsia"/>
                <w:szCs w:val="21"/>
              </w:rPr>
            </w:pPr>
            <w:r>
              <w:rPr>
                <w:rFonts w:hint="eastAsia" w:eastAsiaTheme="minorEastAsia"/>
                <w:szCs w:val="21"/>
              </w:rPr>
              <w:t>100</w:t>
            </w:r>
          </w:p>
        </w:tc>
        <w:tc>
          <w:tcPr>
            <w:tcW w:w="1799" w:type="dxa"/>
            <w:vAlign w:val="center"/>
          </w:tcPr>
          <w:p>
            <w:pPr>
              <w:ind w:left="-34" w:leftChars="-16" w:right="-92" w:rightChars="-44"/>
              <w:rPr>
                <w:rFonts w:eastAsiaTheme="minorEastAsia"/>
                <w:szCs w:val="21"/>
              </w:rPr>
            </w:pPr>
            <w:r>
              <w:rPr>
                <w:rFonts w:eastAsiaTheme="minorEastAsia"/>
                <w:szCs w:val="21"/>
              </w:rPr>
              <w:t>广西自然科学基金重大项目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309" w:rightChars="-147" w:hanging="462" w:firstLineChars="0"/>
              <w:jc w:val="center"/>
              <w:rPr>
                <w:rFonts w:eastAsiaTheme="minorEastAsia"/>
                <w:szCs w:val="21"/>
              </w:rPr>
            </w:pPr>
          </w:p>
        </w:tc>
        <w:tc>
          <w:tcPr>
            <w:tcW w:w="2807" w:type="dxa"/>
            <w:vAlign w:val="center"/>
          </w:tcPr>
          <w:p>
            <w:pPr>
              <w:ind w:left="-34" w:leftChars="-16"/>
              <w:rPr>
                <w:rFonts w:eastAsiaTheme="minorEastAsia"/>
                <w:szCs w:val="21"/>
              </w:rPr>
            </w:pPr>
            <w:r>
              <w:rPr>
                <w:rFonts w:hint="eastAsia" w:eastAsiaTheme="minorEastAsia"/>
                <w:szCs w:val="21"/>
              </w:rPr>
              <w:t>若干含氮多环天然物/药物的合成及其抗肿瘤活性研究</w:t>
            </w:r>
          </w:p>
        </w:tc>
        <w:tc>
          <w:tcPr>
            <w:tcW w:w="1286" w:type="dxa"/>
            <w:vAlign w:val="center"/>
          </w:tcPr>
          <w:p>
            <w:pPr>
              <w:jc w:val="center"/>
              <w:rPr>
                <w:rFonts w:eastAsia="华文中宋"/>
                <w:szCs w:val="21"/>
              </w:rPr>
            </w:pPr>
            <w:r>
              <w:rPr>
                <w:rFonts w:eastAsia="华文中宋"/>
                <w:szCs w:val="21"/>
              </w:rPr>
              <w:t>2016GXNSFEA380001</w:t>
            </w:r>
          </w:p>
        </w:tc>
        <w:tc>
          <w:tcPr>
            <w:tcW w:w="955" w:type="dxa"/>
            <w:vAlign w:val="center"/>
          </w:tcPr>
          <w:p>
            <w:pPr>
              <w:ind w:left="-34" w:leftChars="-16"/>
              <w:jc w:val="center"/>
              <w:rPr>
                <w:rFonts w:eastAsiaTheme="minorEastAsia"/>
                <w:szCs w:val="21"/>
              </w:rPr>
            </w:pPr>
            <w:r>
              <w:rPr>
                <w:rFonts w:eastAsiaTheme="minorEastAsia"/>
                <w:szCs w:val="21"/>
              </w:rPr>
              <w:t>潘英明</w:t>
            </w:r>
          </w:p>
        </w:tc>
        <w:tc>
          <w:tcPr>
            <w:tcW w:w="901" w:type="dxa"/>
            <w:vAlign w:val="center"/>
          </w:tcPr>
          <w:p>
            <w:pPr>
              <w:adjustRightInd w:val="0"/>
              <w:snapToGrid w:val="0"/>
              <w:ind w:left="-63" w:leftChars="-30" w:right="-17" w:rightChars="-8" w:firstLine="69"/>
              <w:jc w:val="center"/>
              <w:rPr>
                <w:rFonts w:eastAsiaTheme="minorEastAsia"/>
                <w:szCs w:val="21"/>
              </w:rPr>
            </w:pPr>
            <w:r>
              <w:rPr>
                <w:rFonts w:eastAsiaTheme="minorEastAsia"/>
                <w:szCs w:val="21"/>
              </w:rPr>
              <w:t>2016.09-2020.08</w:t>
            </w:r>
          </w:p>
        </w:tc>
        <w:tc>
          <w:tcPr>
            <w:tcW w:w="712" w:type="dxa"/>
            <w:vAlign w:val="center"/>
          </w:tcPr>
          <w:p>
            <w:pPr>
              <w:ind w:left="-34" w:leftChars="-16" w:right="-92" w:rightChars="-44"/>
              <w:jc w:val="center"/>
              <w:rPr>
                <w:rFonts w:eastAsiaTheme="minorEastAsia"/>
                <w:szCs w:val="21"/>
              </w:rPr>
            </w:pPr>
            <w:r>
              <w:rPr>
                <w:rFonts w:hint="eastAsia" w:eastAsiaTheme="minorEastAsia"/>
                <w:szCs w:val="21"/>
              </w:rPr>
              <w:t>100</w:t>
            </w:r>
          </w:p>
        </w:tc>
        <w:tc>
          <w:tcPr>
            <w:tcW w:w="1799" w:type="dxa"/>
            <w:vAlign w:val="center"/>
          </w:tcPr>
          <w:p>
            <w:pPr>
              <w:ind w:left="-34" w:leftChars="-16" w:right="-92" w:rightChars="-44"/>
              <w:rPr>
                <w:rFonts w:eastAsiaTheme="minorEastAsia"/>
                <w:szCs w:val="21"/>
              </w:rPr>
            </w:pPr>
            <w:r>
              <w:rPr>
                <w:rFonts w:eastAsiaTheme="minorEastAsia"/>
                <w:szCs w:val="21"/>
              </w:rPr>
              <w:t>广西自然科学基金重大项目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309" w:rightChars="-147" w:hanging="462" w:firstLineChars="0"/>
              <w:jc w:val="center"/>
              <w:rPr>
                <w:rFonts w:eastAsiaTheme="minorEastAsia"/>
                <w:szCs w:val="21"/>
              </w:rPr>
            </w:pPr>
          </w:p>
        </w:tc>
        <w:tc>
          <w:tcPr>
            <w:tcW w:w="2807" w:type="dxa"/>
            <w:vAlign w:val="center"/>
          </w:tcPr>
          <w:p>
            <w:pPr>
              <w:ind w:left="-34" w:leftChars="-16" w:right="-92" w:rightChars="-44"/>
              <w:rPr>
                <w:rFonts w:eastAsiaTheme="minorEastAsia"/>
                <w:szCs w:val="21"/>
              </w:rPr>
            </w:pPr>
            <w:r>
              <w:rPr>
                <w:rFonts w:eastAsiaTheme="minorEastAsia"/>
                <w:szCs w:val="21"/>
              </w:rPr>
              <w:t>木本香料对甲氧基肉桂醛绿色合成关键技术的研究与开发</w:t>
            </w:r>
          </w:p>
        </w:tc>
        <w:tc>
          <w:tcPr>
            <w:tcW w:w="1286" w:type="dxa"/>
            <w:vAlign w:val="center"/>
          </w:tcPr>
          <w:p>
            <w:pPr>
              <w:jc w:val="center"/>
              <w:rPr>
                <w:rFonts w:eastAsiaTheme="minorEastAsia"/>
                <w:szCs w:val="21"/>
              </w:rPr>
            </w:pPr>
            <w:r>
              <w:rPr>
                <w:rFonts w:eastAsiaTheme="minorEastAsia"/>
                <w:szCs w:val="21"/>
              </w:rPr>
              <w:t>桂科</w:t>
            </w:r>
            <w:r>
              <w:rPr>
                <w:rFonts w:hint="eastAsia" w:eastAsiaTheme="minorEastAsia"/>
                <w:szCs w:val="21"/>
              </w:rPr>
              <w:t>AB18221005</w:t>
            </w:r>
          </w:p>
        </w:tc>
        <w:tc>
          <w:tcPr>
            <w:tcW w:w="955" w:type="dxa"/>
            <w:vAlign w:val="center"/>
          </w:tcPr>
          <w:p>
            <w:pPr>
              <w:ind w:left="-34" w:leftChars="-16"/>
              <w:jc w:val="center"/>
              <w:rPr>
                <w:rFonts w:eastAsiaTheme="minorEastAsia"/>
                <w:szCs w:val="21"/>
              </w:rPr>
            </w:pPr>
            <w:r>
              <w:rPr>
                <w:rFonts w:eastAsiaTheme="minorEastAsia"/>
                <w:szCs w:val="21"/>
              </w:rPr>
              <w:t>潘英明</w:t>
            </w:r>
          </w:p>
        </w:tc>
        <w:tc>
          <w:tcPr>
            <w:tcW w:w="901" w:type="dxa"/>
            <w:vAlign w:val="center"/>
          </w:tcPr>
          <w:p>
            <w:pPr>
              <w:adjustRightInd w:val="0"/>
              <w:snapToGrid w:val="0"/>
              <w:ind w:left="-63" w:leftChars="-30" w:right="-17" w:rightChars="-8" w:firstLine="69"/>
              <w:jc w:val="center"/>
              <w:rPr>
                <w:rFonts w:eastAsiaTheme="minorEastAsia"/>
                <w:szCs w:val="21"/>
              </w:rPr>
            </w:pPr>
            <w:r>
              <w:rPr>
                <w:rFonts w:eastAsiaTheme="minorEastAsia"/>
                <w:szCs w:val="21"/>
              </w:rPr>
              <w:t>2018.01-2020.12</w:t>
            </w:r>
          </w:p>
        </w:tc>
        <w:tc>
          <w:tcPr>
            <w:tcW w:w="712" w:type="dxa"/>
            <w:vAlign w:val="center"/>
          </w:tcPr>
          <w:p>
            <w:pPr>
              <w:ind w:left="-34" w:leftChars="-16" w:right="-92" w:rightChars="-44"/>
              <w:jc w:val="center"/>
              <w:rPr>
                <w:rFonts w:eastAsiaTheme="minorEastAsia"/>
                <w:szCs w:val="21"/>
              </w:rPr>
            </w:pPr>
            <w:r>
              <w:rPr>
                <w:rFonts w:eastAsiaTheme="minorEastAsia"/>
                <w:szCs w:val="21"/>
              </w:rPr>
              <w:t>60</w:t>
            </w:r>
          </w:p>
        </w:tc>
        <w:tc>
          <w:tcPr>
            <w:tcW w:w="1799" w:type="dxa"/>
            <w:vAlign w:val="center"/>
          </w:tcPr>
          <w:p>
            <w:pPr>
              <w:ind w:left="-34" w:leftChars="-16" w:right="-92" w:rightChars="-44"/>
              <w:rPr>
                <w:rFonts w:eastAsiaTheme="minorEastAsia"/>
                <w:szCs w:val="21"/>
              </w:rPr>
            </w:pPr>
            <w:r>
              <w:rPr>
                <w:rFonts w:eastAsiaTheme="minorEastAsia"/>
                <w:szCs w:val="21"/>
              </w:rPr>
              <w:t>广西重点研发计划项目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519" w:type="dxa"/>
            <w:vAlign w:val="center"/>
          </w:tcPr>
          <w:p>
            <w:pPr>
              <w:pStyle w:val="47"/>
              <w:numPr>
                <w:ilvl w:val="0"/>
                <w:numId w:val="1"/>
              </w:numPr>
              <w:adjustRightInd w:val="0"/>
              <w:snapToGrid w:val="0"/>
              <w:ind w:left="356" w:right="-309" w:rightChars="-147" w:hanging="462" w:firstLineChars="0"/>
              <w:jc w:val="center"/>
              <w:rPr>
                <w:rFonts w:eastAsiaTheme="minorEastAsia"/>
                <w:szCs w:val="21"/>
              </w:rPr>
            </w:pPr>
          </w:p>
        </w:tc>
        <w:tc>
          <w:tcPr>
            <w:tcW w:w="2807" w:type="dxa"/>
            <w:vAlign w:val="center"/>
          </w:tcPr>
          <w:p>
            <w:pPr>
              <w:ind w:left="-34" w:leftChars="-16" w:right="-92" w:rightChars="-44"/>
              <w:rPr>
                <w:rFonts w:eastAsiaTheme="minorEastAsia"/>
                <w:szCs w:val="21"/>
              </w:rPr>
            </w:pPr>
            <w:r>
              <w:rPr>
                <w:rFonts w:eastAsiaTheme="minorEastAsia"/>
                <w:szCs w:val="21"/>
              </w:rPr>
              <w:t>基于样品库中新型肿瘤和病毒靶点抑制剂筛查的十种瑶药标准制定</w:t>
            </w:r>
          </w:p>
        </w:tc>
        <w:tc>
          <w:tcPr>
            <w:tcW w:w="1286" w:type="dxa"/>
            <w:vAlign w:val="center"/>
          </w:tcPr>
          <w:p>
            <w:pPr>
              <w:jc w:val="center"/>
              <w:rPr>
                <w:rFonts w:eastAsiaTheme="minorEastAsia"/>
                <w:szCs w:val="21"/>
              </w:rPr>
            </w:pPr>
            <w:r>
              <w:rPr>
                <w:rFonts w:eastAsiaTheme="minorEastAsia"/>
                <w:szCs w:val="21"/>
              </w:rPr>
              <w:t>桂科AB17292075</w:t>
            </w:r>
          </w:p>
        </w:tc>
        <w:tc>
          <w:tcPr>
            <w:tcW w:w="955" w:type="dxa"/>
            <w:vAlign w:val="center"/>
          </w:tcPr>
          <w:p>
            <w:pPr>
              <w:ind w:left="-34" w:leftChars="-16"/>
              <w:jc w:val="center"/>
              <w:rPr>
                <w:rFonts w:eastAsiaTheme="minorEastAsia"/>
                <w:szCs w:val="21"/>
              </w:rPr>
            </w:pPr>
            <w:r>
              <w:rPr>
                <w:rFonts w:eastAsiaTheme="minorEastAsia"/>
                <w:szCs w:val="21"/>
              </w:rPr>
              <w:t>王恒山</w:t>
            </w:r>
          </w:p>
        </w:tc>
        <w:tc>
          <w:tcPr>
            <w:tcW w:w="901" w:type="dxa"/>
            <w:vAlign w:val="center"/>
          </w:tcPr>
          <w:p>
            <w:pPr>
              <w:adjustRightInd w:val="0"/>
              <w:snapToGrid w:val="0"/>
              <w:ind w:left="-55" w:leftChars="-30" w:right="-17" w:rightChars="-8" w:hanging="8"/>
              <w:jc w:val="center"/>
              <w:rPr>
                <w:rFonts w:eastAsiaTheme="minorEastAsia"/>
                <w:szCs w:val="21"/>
              </w:rPr>
            </w:pPr>
            <w:r>
              <w:rPr>
                <w:rFonts w:eastAsiaTheme="minorEastAsia"/>
                <w:szCs w:val="21"/>
              </w:rPr>
              <w:t>2018</w:t>
            </w:r>
            <w:r>
              <w:rPr>
                <w:rFonts w:hint="eastAsia" w:eastAsiaTheme="minorEastAsia"/>
                <w:szCs w:val="21"/>
              </w:rPr>
              <w:t>.</w:t>
            </w:r>
            <w:r>
              <w:rPr>
                <w:rFonts w:eastAsiaTheme="minorEastAsia"/>
                <w:szCs w:val="21"/>
              </w:rPr>
              <w:t>01-</w:t>
            </w:r>
          </w:p>
          <w:p>
            <w:pPr>
              <w:adjustRightInd w:val="0"/>
              <w:snapToGrid w:val="0"/>
              <w:ind w:left="-55" w:leftChars="-30" w:right="-17" w:rightChars="-8" w:hanging="8"/>
              <w:jc w:val="center"/>
              <w:rPr>
                <w:rFonts w:eastAsiaTheme="minorEastAsia"/>
                <w:szCs w:val="21"/>
              </w:rPr>
            </w:pPr>
            <w:r>
              <w:rPr>
                <w:rFonts w:eastAsiaTheme="minorEastAsia"/>
                <w:szCs w:val="21"/>
              </w:rPr>
              <w:t>2020</w:t>
            </w:r>
            <w:r>
              <w:rPr>
                <w:rFonts w:hint="eastAsia" w:eastAsiaTheme="minorEastAsia"/>
                <w:szCs w:val="21"/>
              </w:rPr>
              <w:t>.</w:t>
            </w:r>
            <w:r>
              <w:rPr>
                <w:rFonts w:eastAsiaTheme="minorEastAsia"/>
                <w:szCs w:val="21"/>
              </w:rPr>
              <w:t>12</w:t>
            </w:r>
          </w:p>
        </w:tc>
        <w:tc>
          <w:tcPr>
            <w:tcW w:w="712" w:type="dxa"/>
            <w:vAlign w:val="center"/>
          </w:tcPr>
          <w:p>
            <w:pPr>
              <w:ind w:left="-34" w:leftChars="-16" w:right="-92" w:rightChars="-44"/>
              <w:jc w:val="center"/>
              <w:rPr>
                <w:rFonts w:eastAsiaTheme="minorEastAsia"/>
                <w:szCs w:val="21"/>
              </w:rPr>
            </w:pPr>
            <w:r>
              <w:rPr>
                <w:rFonts w:hint="eastAsia" w:eastAsiaTheme="minorEastAsia"/>
                <w:szCs w:val="21"/>
              </w:rPr>
              <w:t>50</w:t>
            </w:r>
          </w:p>
        </w:tc>
        <w:tc>
          <w:tcPr>
            <w:tcW w:w="1799" w:type="dxa"/>
            <w:vAlign w:val="center"/>
          </w:tcPr>
          <w:p>
            <w:pPr>
              <w:ind w:left="-34" w:leftChars="-16" w:right="-92" w:rightChars="-44"/>
              <w:rPr>
                <w:rFonts w:eastAsiaTheme="minorEastAsia"/>
                <w:szCs w:val="21"/>
              </w:rPr>
            </w:pPr>
            <w:r>
              <w:rPr>
                <w:rFonts w:eastAsiaTheme="minorEastAsia"/>
                <w:szCs w:val="21"/>
              </w:rPr>
              <w:t>广西重点研发计划项目</w:t>
            </w:r>
          </w:p>
        </w:tc>
      </w:tr>
    </w:tbl>
    <w:p>
      <w:pPr>
        <w:adjustRightInd w:val="0"/>
        <w:snapToGrid w:val="0"/>
        <w:spacing w:line="240" w:lineRule="exact"/>
        <w:ind w:firstLine="420" w:firstLineChars="200"/>
        <w:rPr>
          <w:rFonts w:eastAsia="楷体_GB2312"/>
          <w:szCs w:val="24"/>
        </w:rPr>
      </w:pPr>
      <w:r>
        <w:rPr>
          <w:rFonts w:eastAsia="楷体_GB2312"/>
          <w:szCs w:val="24"/>
        </w:rPr>
        <w:t>注：</w:t>
      </w:r>
      <w:r>
        <w:rPr>
          <w:rFonts w:hint="eastAsia" w:eastAsia="楷体_GB2312"/>
          <w:szCs w:val="24"/>
        </w:rPr>
        <w:t>请依次以国家重大科技专项、国家重点研发计划、国家自然科学基金（面上、重点和重大、创新研究群体计划、杰出青年基金、优秀青年基金</w:t>
      </w:r>
      <w:r>
        <w:rPr>
          <w:rFonts w:hint="eastAsia" w:ascii="Calibri" w:hAnsi="Calibri" w:eastAsia="楷体_GB2312" w:cs="Calibri"/>
          <w:szCs w:val="24"/>
        </w:rPr>
        <w:t>、</w:t>
      </w:r>
      <w:r>
        <w:rPr>
          <w:rFonts w:hint="eastAsia" w:eastAsia="楷体_GB2312"/>
          <w:szCs w:val="24"/>
        </w:rPr>
        <w:t>重大科研计划）、国家科技（攻关）、国防重大、国际合作、省部重大科技计划、重大横向合作等为序填写，并在类别栏中注明。只统计项目</w:t>
      </w:r>
      <w:r>
        <w:rPr>
          <w:rFonts w:eastAsia="楷体_GB2312"/>
          <w:szCs w:val="24"/>
        </w:rPr>
        <w:t>/</w:t>
      </w:r>
      <w:r>
        <w:rPr>
          <w:rFonts w:hint="eastAsia" w:eastAsia="楷体_GB2312"/>
          <w:szCs w:val="24"/>
        </w:rPr>
        <w:t>课题负责人是实验室人员的任务信息。只填写所牵头负责的项目或课题。</w:t>
      </w:r>
      <w:r>
        <w:rPr>
          <w:rFonts w:hint="eastAsia" w:eastAsia="黑体"/>
          <w:b/>
          <w:szCs w:val="24"/>
        </w:rPr>
        <w:t>若该项目或课题为某项目的子课题或子任务，请在名称后加</w:t>
      </w:r>
      <w:r>
        <w:rPr>
          <w:rFonts w:eastAsia="黑体"/>
          <w:b/>
          <w:szCs w:val="24"/>
        </w:rPr>
        <w:t>*</w:t>
      </w:r>
      <w:r>
        <w:rPr>
          <w:rFonts w:hint="eastAsia" w:eastAsia="黑体"/>
          <w:b/>
          <w:szCs w:val="24"/>
        </w:rPr>
        <w:t>号标注。</w:t>
      </w:r>
      <w:r>
        <w:rPr>
          <w:rFonts w:hint="eastAsia" w:eastAsia="楷体_GB2312"/>
          <w:szCs w:val="24"/>
        </w:rPr>
        <w:t>佐证材料放入附件二。</w:t>
      </w:r>
      <w:r>
        <w:rPr>
          <w:rFonts w:eastAsia="黑体"/>
          <w:b/>
          <w:sz w:val="28"/>
          <w:szCs w:val="24"/>
        </w:rPr>
        <w:br w:type="page"/>
      </w:r>
    </w:p>
    <w:p>
      <w:pPr>
        <w:adjustRightInd w:val="0"/>
        <w:snapToGrid w:val="0"/>
        <w:spacing w:line="360" w:lineRule="auto"/>
        <w:ind w:firstLine="562" w:firstLineChars="200"/>
        <w:rPr>
          <w:rFonts w:eastAsia="黑体"/>
          <w:b/>
          <w:sz w:val="28"/>
          <w:szCs w:val="24"/>
        </w:rPr>
      </w:pPr>
      <w:r>
        <w:rPr>
          <w:rFonts w:eastAsia="黑体"/>
          <w:b/>
          <w:sz w:val="28"/>
          <w:szCs w:val="24"/>
        </w:rPr>
        <w:t>4、发展思路与潜力</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5" w:hRule="atLeast"/>
        </w:trPr>
        <w:tc>
          <w:tcPr>
            <w:tcW w:w="8522" w:type="dxa"/>
          </w:tcPr>
          <w:p>
            <w:pPr>
              <w:adjustRightInd w:val="0"/>
              <w:snapToGrid w:val="0"/>
              <w:spacing w:before="156" w:beforeLines="50"/>
              <w:ind w:firstLine="480" w:firstLineChars="200"/>
              <w:rPr>
                <w:rFonts w:eastAsia="楷体_GB2312"/>
                <w:sz w:val="24"/>
                <w:szCs w:val="24"/>
              </w:rPr>
            </w:pPr>
            <w:r>
              <w:rPr>
                <w:rFonts w:eastAsia="楷体_GB2312"/>
                <w:sz w:val="24"/>
                <w:szCs w:val="24"/>
              </w:rPr>
              <w:t>简要介绍实验室的优势与存在的不足、今后五年的建设目标、发展思路和保障举措等。（800字以内）</w:t>
            </w:r>
          </w:p>
          <w:p>
            <w:pPr>
              <w:widowControl/>
              <w:spacing w:line="360" w:lineRule="auto"/>
              <w:ind w:firstLine="482" w:firstLineChars="200"/>
              <w:rPr>
                <w:kern w:val="0"/>
                <w:sz w:val="24"/>
                <w:szCs w:val="24"/>
                <w:lang w:bidi="ar"/>
              </w:rPr>
            </w:pPr>
            <w:r>
              <w:rPr>
                <w:b/>
                <w:kern w:val="0"/>
                <w:sz w:val="24"/>
                <w:szCs w:val="24"/>
                <w:lang w:bidi="ar"/>
              </w:rPr>
              <w:t>实验室的优势：</w:t>
            </w:r>
            <w:r>
              <w:rPr>
                <w:rFonts w:hint="eastAsia"/>
                <w:kern w:val="0"/>
                <w:sz w:val="24"/>
                <w:szCs w:val="24"/>
                <w:lang w:bidi="ar"/>
              </w:rPr>
              <w:t>实验室长期目标是</w:t>
            </w:r>
            <w:r>
              <w:rPr>
                <w:kern w:val="0"/>
                <w:sz w:val="24"/>
                <w:szCs w:val="24"/>
                <w:lang w:bidi="ar"/>
              </w:rPr>
              <w:t>以</w:t>
            </w:r>
            <w:r>
              <w:rPr>
                <w:rFonts w:hint="eastAsia"/>
                <w:kern w:val="0"/>
                <w:sz w:val="24"/>
                <w:szCs w:val="24"/>
                <w:lang w:bidi="ar"/>
              </w:rPr>
              <w:t>药用资源</w:t>
            </w:r>
            <w:r>
              <w:rPr>
                <w:kern w:val="0"/>
                <w:sz w:val="24"/>
                <w:szCs w:val="24"/>
                <w:lang w:bidi="ar"/>
              </w:rPr>
              <w:t>化学研究为核心，</w:t>
            </w:r>
            <w:r>
              <w:rPr>
                <w:rFonts w:hint="eastAsia"/>
                <w:kern w:val="0"/>
                <w:sz w:val="24"/>
                <w:szCs w:val="24"/>
                <w:lang w:bidi="ar"/>
              </w:rPr>
              <w:t>主要</w:t>
            </w:r>
            <w:r>
              <w:rPr>
                <w:kern w:val="0"/>
                <w:sz w:val="24"/>
                <w:szCs w:val="24"/>
                <w:lang w:bidi="ar"/>
              </w:rPr>
              <w:t>基于</w:t>
            </w:r>
            <w:r>
              <w:rPr>
                <w:rFonts w:hint="eastAsia"/>
                <w:kern w:val="0"/>
                <w:sz w:val="24"/>
                <w:szCs w:val="24"/>
                <w:lang w:bidi="ar"/>
              </w:rPr>
              <w:t>中</w:t>
            </w:r>
            <w:r>
              <w:rPr>
                <w:kern w:val="0"/>
                <w:sz w:val="24"/>
                <w:szCs w:val="24"/>
                <w:lang w:bidi="ar"/>
              </w:rPr>
              <w:t>药的传统用药经验及现代医药研究领域多学科的新进展，综合运用新技术新方法，阐明疗效确切</w:t>
            </w:r>
            <w:r>
              <w:rPr>
                <w:rFonts w:hint="eastAsia"/>
                <w:kern w:val="0"/>
                <w:sz w:val="24"/>
                <w:szCs w:val="24"/>
                <w:lang w:bidi="ar"/>
              </w:rPr>
              <w:t>药用资源</w:t>
            </w:r>
            <w:r>
              <w:rPr>
                <w:kern w:val="0"/>
                <w:sz w:val="24"/>
                <w:szCs w:val="24"/>
                <w:lang w:bidi="ar"/>
              </w:rPr>
              <w:t>的药效物质基础，诠释其作用的科学内涵；以活性化合物为先导，通过分子工程的理论和方法发现具有多靶点多重作用的新药先导化合物或构建前药载运体系，促进新兴和交叉学科领域的形成，引领国内外</w:t>
            </w:r>
            <w:r>
              <w:rPr>
                <w:rFonts w:hint="eastAsia"/>
                <w:kern w:val="0"/>
                <w:sz w:val="24"/>
                <w:szCs w:val="24"/>
                <w:lang w:bidi="ar"/>
              </w:rPr>
              <w:t>药用资源</w:t>
            </w:r>
            <w:r>
              <w:rPr>
                <w:kern w:val="0"/>
                <w:sz w:val="24"/>
                <w:szCs w:val="24"/>
                <w:lang w:bidi="ar"/>
              </w:rPr>
              <w:t>化学与</w:t>
            </w:r>
            <w:r>
              <w:rPr>
                <w:rFonts w:hint="eastAsia"/>
                <w:kern w:val="0"/>
                <w:sz w:val="24"/>
                <w:szCs w:val="24"/>
                <w:lang w:bidi="ar"/>
              </w:rPr>
              <w:t>药物</w:t>
            </w:r>
            <w:r>
              <w:rPr>
                <w:kern w:val="0"/>
                <w:sz w:val="24"/>
                <w:szCs w:val="24"/>
                <w:lang w:bidi="ar"/>
              </w:rPr>
              <w:t>分子工程研究的发展方向。</w:t>
            </w:r>
            <w:r>
              <w:rPr>
                <w:rFonts w:hint="eastAsia"/>
                <w:kern w:val="0"/>
                <w:sz w:val="24"/>
                <w:szCs w:val="24"/>
                <w:lang w:bidi="ar"/>
              </w:rPr>
              <w:t>主要优势：（1）平台优势，2016年批准为省部共建国家重点实验室；（2）区位优势，</w:t>
            </w:r>
            <w:r>
              <w:rPr>
                <w:sz w:val="24"/>
                <w:szCs w:val="24"/>
              </w:rPr>
              <w:t>广西</w:t>
            </w:r>
            <w:r>
              <w:rPr>
                <w:rFonts w:hint="eastAsia"/>
                <w:sz w:val="24"/>
                <w:szCs w:val="24"/>
              </w:rPr>
              <w:t>是</w:t>
            </w:r>
            <w:r>
              <w:rPr>
                <w:sz w:val="24"/>
                <w:szCs w:val="24"/>
              </w:rPr>
              <w:t>中国与东盟合作的 “桥头堡”</w:t>
            </w:r>
            <w:r>
              <w:rPr>
                <w:rFonts w:hint="eastAsia"/>
                <w:sz w:val="24"/>
                <w:szCs w:val="24"/>
              </w:rPr>
              <w:t>和</w:t>
            </w:r>
            <w:r>
              <w:rPr>
                <w:sz w:val="24"/>
                <w:szCs w:val="24"/>
              </w:rPr>
              <w:t>“一带一路”的重要门户</w:t>
            </w:r>
            <w:r>
              <w:rPr>
                <w:rFonts w:hint="eastAsia"/>
                <w:kern w:val="0"/>
                <w:sz w:val="24"/>
                <w:szCs w:val="24"/>
                <w:lang w:bidi="ar"/>
              </w:rPr>
              <w:t>；（3）资源优势，</w:t>
            </w:r>
            <w:r>
              <w:rPr>
                <w:rFonts w:eastAsiaTheme="minorEastAsia"/>
                <w:sz w:val="24"/>
                <w:szCs w:val="24"/>
              </w:rPr>
              <w:t>广西是中国的四大药材基地之一</w:t>
            </w:r>
            <w:r>
              <w:rPr>
                <w:rFonts w:hint="eastAsia" w:eastAsiaTheme="minorEastAsia"/>
                <w:sz w:val="24"/>
                <w:szCs w:val="24"/>
              </w:rPr>
              <w:t>，药用资源</w:t>
            </w:r>
            <w:r>
              <w:rPr>
                <w:rFonts w:eastAsiaTheme="minorEastAsia"/>
                <w:sz w:val="24"/>
                <w:szCs w:val="24"/>
              </w:rPr>
              <w:t>在全国名列第一</w:t>
            </w:r>
            <w:r>
              <w:rPr>
                <w:rFonts w:hint="eastAsia"/>
                <w:kern w:val="0"/>
                <w:sz w:val="24"/>
                <w:szCs w:val="24"/>
                <w:lang w:bidi="ar"/>
              </w:rPr>
              <w:t>。</w:t>
            </w:r>
          </w:p>
          <w:p>
            <w:pPr>
              <w:widowControl/>
              <w:spacing w:line="360" w:lineRule="auto"/>
              <w:ind w:firstLine="482" w:firstLineChars="200"/>
              <w:rPr>
                <w:kern w:val="0"/>
                <w:sz w:val="24"/>
                <w:szCs w:val="24"/>
                <w:lang w:bidi="ar"/>
              </w:rPr>
            </w:pPr>
            <w:r>
              <w:rPr>
                <w:rFonts w:hint="eastAsia"/>
                <w:b/>
                <w:kern w:val="0"/>
                <w:sz w:val="24"/>
                <w:szCs w:val="24"/>
                <w:lang w:bidi="ar"/>
              </w:rPr>
              <w:t>实验室存在的不足</w:t>
            </w:r>
            <w:r>
              <w:rPr>
                <w:rFonts w:hint="eastAsia"/>
                <w:kern w:val="0"/>
                <w:sz w:val="24"/>
                <w:szCs w:val="24"/>
                <w:lang w:bidi="ar"/>
              </w:rPr>
              <w:t>：（1）</w:t>
            </w:r>
            <w:r>
              <w:rPr>
                <w:rFonts w:ascii="宋体" w:hAnsi="宋体" w:cs="宋体"/>
                <w:kern w:val="0"/>
                <w:sz w:val="24"/>
                <w:szCs w:val="24"/>
                <w:lang w:bidi="ar"/>
              </w:rPr>
              <w:t>国家级高层次</w:t>
            </w:r>
            <w:r>
              <w:rPr>
                <w:rFonts w:hint="eastAsia" w:ascii="宋体" w:hAnsi="宋体" w:cs="宋体"/>
                <w:kern w:val="0"/>
                <w:sz w:val="24"/>
                <w:szCs w:val="24"/>
                <w:lang w:bidi="ar"/>
              </w:rPr>
              <w:t>领军</w:t>
            </w:r>
            <w:r>
              <w:rPr>
                <w:rFonts w:ascii="宋体" w:hAnsi="宋体" w:cs="宋体"/>
                <w:kern w:val="0"/>
                <w:sz w:val="24"/>
                <w:szCs w:val="24"/>
                <w:lang w:bidi="ar"/>
              </w:rPr>
              <w:t>人才和药学相关专业人才不足</w:t>
            </w:r>
            <w:r>
              <w:rPr>
                <w:rFonts w:hint="eastAsia"/>
                <w:kern w:val="0"/>
                <w:sz w:val="24"/>
                <w:szCs w:val="24"/>
                <w:lang w:bidi="ar"/>
              </w:rPr>
              <w:t>；（2）标志性成果不多，国家级科技成果奖励亟待突破。</w:t>
            </w:r>
          </w:p>
          <w:p>
            <w:pPr>
              <w:widowControl/>
              <w:spacing w:line="360" w:lineRule="auto"/>
              <w:ind w:firstLine="482" w:firstLineChars="200"/>
              <w:rPr>
                <w:kern w:val="0"/>
                <w:sz w:val="24"/>
                <w:szCs w:val="24"/>
                <w:lang w:bidi="ar"/>
              </w:rPr>
            </w:pPr>
            <w:r>
              <w:rPr>
                <w:rFonts w:hint="eastAsia"/>
                <w:b/>
                <w:kern w:val="0"/>
                <w:sz w:val="24"/>
                <w:szCs w:val="24"/>
                <w:lang w:bidi="ar"/>
              </w:rPr>
              <w:t>今后五年的建设目标：</w:t>
            </w:r>
            <w:r>
              <w:rPr>
                <w:rFonts w:hint="eastAsia"/>
                <w:kern w:val="0"/>
                <w:sz w:val="24"/>
                <w:szCs w:val="24"/>
                <w:lang w:bidi="ar"/>
              </w:rPr>
              <w:t>积极发挥平台、区位和资源优势，为广西重要中药品种的升级换代赋予科学内涵，在重要药用资源（壮瑶药等）的研究开发领域取得国际领先成果，为创制新药打下基础；建设一支专业过硬、具有国际水平的人才队伍；力争获得国家级科技成果奖励零的突破。努力</w:t>
            </w:r>
            <w:r>
              <w:rPr>
                <w:kern w:val="0"/>
                <w:sz w:val="24"/>
                <w:szCs w:val="24"/>
                <w:lang w:bidi="ar"/>
              </w:rPr>
              <w:t>将实验室建设成为在药用资源化学与药物分子工程研究领域处于国际学科前沿、有重要学术影响的创新平台，药用资源化学与药物分子工程领域人才高地，广西医药产业科技创新公共平台，为广西</w:t>
            </w:r>
            <w:r>
              <w:rPr>
                <w:rFonts w:hint="eastAsia"/>
                <w:kern w:val="0"/>
                <w:sz w:val="24"/>
                <w:szCs w:val="24"/>
                <w:lang w:bidi="ar"/>
              </w:rPr>
              <w:t>大健康</w:t>
            </w:r>
            <w:r>
              <w:rPr>
                <w:kern w:val="0"/>
                <w:sz w:val="24"/>
                <w:szCs w:val="24"/>
                <w:lang w:bidi="ar"/>
              </w:rPr>
              <w:t>产业的发展提供重要学术和技术支撑；成为中国</w:t>
            </w:r>
            <w:r>
              <w:rPr>
                <w:rFonts w:hint="eastAsia"/>
                <w:kern w:val="0"/>
                <w:sz w:val="24"/>
                <w:szCs w:val="24"/>
                <w:lang w:bidi="ar"/>
              </w:rPr>
              <w:t>与</w:t>
            </w:r>
            <w:r>
              <w:rPr>
                <w:kern w:val="0"/>
                <w:sz w:val="24"/>
                <w:szCs w:val="24"/>
                <w:lang w:bidi="ar"/>
              </w:rPr>
              <w:t>东盟、“</w:t>
            </w:r>
            <w:r>
              <w:rPr>
                <w:rFonts w:hint="eastAsia"/>
                <w:kern w:val="0"/>
                <w:sz w:val="24"/>
                <w:szCs w:val="24"/>
                <w:lang w:bidi="ar"/>
              </w:rPr>
              <w:t>一带一路”国家传统医</w:t>
            </w:r>
            <w:r>
              <w:rPr>
                <w:kern w:val="0"/>
                <w:sz w:val="24"/>
                <w:szCs w:val="24"/>
                <w:lang w:bidi="ar"/>
              </w:rPr>
              <w:t>药的合作研究与交流重要基地。</w:t>
            </w:r>
          </w:p>
          <w:p>
            <w:pPr>
              <w:widowControl/>
              <w:spacing w:line="360" w:lineRule="auto"/>
              <w:ind w:firstLine="482" w:firstLineChars="200"/>
              <w:rPr>
                <w:kern w:val="0"/>
                <w:sz w:val="24"/>
                <w:szCs w:val="24"/>
                <w:lang w:bidi="ar"/>
              </w:rPr>
            </w:pPr>
            <w:r>
              <w:rPr>
                <w:rFonts w:hint="eastAsia"/>
                <w:b/>
                <w:kern w:val="0"/>
                <w:sz w:val="24"/>
                <w:szCs w:val="24"/>
                <w:lang w:bidi="ar"/>
              </w:rPr>
              <w:t>实验室的</w:t>
            </w:r>
            <w:r>
              <w:rPr>
                <w:b/>
                <w:kern w:val="0"/>
                <w:sz w:val="24"/>
                <w:szCs w:val="24"/>
                <w:lang w:bidi="ar"/>
              </w:rPr>
              <w:t>发展思路：</w:t>
            </w:r>
            <w:r>
              <w:rPr>
                <w:rFonts w:hint="eastAsia"/>
                <w:kern w:val="0"/>
                <w:sz w:val="24"/>
                <w:szCs w:val="24"/>
                <w:lang w:bidi="ar"/>
              </w:rPr>
              <w:t>加强顶层设计，</w:t>
            </w:r>
            <w:r>
              <w:rPr>
                <w:kern w:val="0"/>
                <w:sz w:val="24"/>
                <w:szCs w:val="24"/>
                <w:lang w:bidi="ar"/>
              </w:rPr>
              <w:t>面向国家重大需求，坚持区域特色，坚持问题导向，</w:t>
            </w:r>
            <w:r>
              <w:rPr>
                <w:rFonts w:hint="eastAsia"/>
                <w:kern w:val="0"/>
                <w:sz w:val="24"/>
                <w:szCs w:val="24"/>
                <w:lang w:bidi="ar"/>
              </w:rPr>
              <w:t>开展高水平科学研究与技术开发；</w:t>
            </w:r>
            <w:r>
              <w:rPr>
                <w:kern w:val="0"/>
                <w:sz w:val="24"/>
                <w:szCs w:val="24"/>
                <w:lang w:bidi="ar"/>
              </w:rPr>
              <w:t>加强</w:t>
            </w:r>
            <w:r>
              <w:rPr>
                <w:rFonts w:hint="eastAsia"/>
                <w:kern w:val="0"/>
                <w:sz w:val="24"/>
                <w:szCs w:val="24"/>
                <w:lang w:bidi="ar"/>
              </w:rPr>
              <w:t>人才</w:t>
            </w:r>
            <w:r>
              <w:rPr>
                <w:kern w:val="0"/>
                <w:sz w:val="24"/>
                <w:szCs w:val="24"/>
                <w:lang w:bidi="ar"/>
              </w:rPr>
              <w:t>队伍</w:t>
            </w:r>
            <w:r>
              <w:rPr>
                <w:rFonts w:hint="eastAsia"/>
                <w:kern w:val="0"/>
                <w:sz w:val="24"/>
                <w:szCs w:val="24"/>
                <w:lang w:bidi="ar"/>
              </w:rPr>
              <w:t>和</w:t>
            </w:r>
            <w:r>
              <w:rPr>
                <w:kern w:val="0"/>
                <w:sz w:val="24"/>
                <w:szCs w:val="24"/>
                <w:lang w:bidi="ar"/>
              </w:rPr>
              <w:t>研究平台建设；完善和创新管理运行机制</w:t>
            </w:r>
            <w:r>
              <w:rPr>
                <w:rFonts w:hint="eastAsia"/>
                <w:kern w:val="0"/>
                <w:sz w:val="24"/>
                <w:szCs w:val="24"/>
                <w:lang w:bidi="ar"/>
              </w:rPr>
              <w:t>。</w:t>
            </w:r>
          </w:p>
          <w:p>
            <w:pPr>
              <w:widowControl/>
              <w:spacing w:line="360" w:lineRule="auto"/>
              <w:ind w:firstLine="482" w:firstLineChars="200"/>
              <w:rPr>
                <w:rFonts w:asciiTheme="minorEastAsia" w:hAnsiTheme="minorEastAsia" w:eastAsiaTheme="minorEastAsia"/>
                <w:sz w:val="24"/>
                <w:szCs w:val="24"/>
              </w:rPr>
            </w:pPr>
            <w:r>
              <w:rPr>
                <w:rFonts w:hint="eastAsia"/>
                <w:b/>
                <w:kern w:val="0"/>
                <w:sz w:val="24"/>
                <w:szCs w:val="24"/>
                <w:lang w:bidi="ar"/>
              </w:rPr>
              <w:t>实验室保障措施：</w:t>
            </w:r>
            <w:r>
              <w:rPr>
                <w:rFonts w:hint="eastAsia"/>
                <w:kern w:val="0"/>
                <w:sz w:val="24"/>
                <w:szCs w:val="24"/>
                <w:lang w:bidi="ar"/>
              </w:rPr>
              <w:t>（1）积极培养和引进高层次人才，大力加强引智计划的实施。聘请国内外一流学者来实验室合作交流，派出实验室青年骨干到国际著名学术机构从事合作研究；（2）加强与国内外著名科研机构和知名企业的合作，大力开展协同创新，培育重大标志性成果，积极申报省部级国家级科技成果奖励。</w:t>
            </w:r>
          </w:p>
        </w:tc>
      </w:tr>
    </w:tbl>
    <w:p>
      <w:pPr>
        <w:adjustRightInd w:val="0"/>
        <w:snapToGrid w:val="0"/>
        <w:rPr>
          <w:rFonts w:eastAsia="楷体_GB2312"/>
          <w:sz w:val="28"/>
          <w:szCs w:val="24"/>
        </w:rPr>
      </w:pPr>
    </w:p>
    <w:p>
      <w:pPr>
        <w:widowControl/>
        <w:jc w:val="left"/>
        <w:rPr>
          <w:rFonts w:eastAsia="黑体"/>
          <w:b/>
          <w:sz w:val="32"/>
          <w:szCs w:val="24"/>
        </w:rPr>
      </w:pPr>
      <w:r>
        <w:rPr>
          <w:rFonts w:eastAsia="黑体"/>
          <w:b/>
          <w:sz w:val="32"/>
          <w:szCs w:val="24"/>
        </w:rPr>
        <w:br w:type="page"/>
      </w:r>
      <w:r>
        <w:rPr>
          <w:rFonts w:eastAsia="黑体"/>
          <w:b/>
          <w:sz w:val="32"/>
          <w:szCs w:val="24"/>
        </w:rPr>
        <w:t>三、研究队伍建设</w:t>
      </w:r>
    </w:p>
    <w:p>
      <w:pPr>
        <w:adjustRightInd w:val="0"/>
        <w:snapToGrid w:val="0"/>
        <w:ind w:firstLine="562" w:firstLineChars="200"/>
        <w:rPr>
          <w:rFonts w:eastAsia="黑体"/>
          <w:b/>
          <w:sz w:val="28"/>
          <w:szCs w:val="28"/>
        </w:rPr>
      </w:pPr>
      <w:r>
        <w:rPr>
          <w:rFonts w:eastAsia="黑体"/>
          <w:b/>
          <w:sz w:val="28"/>
          <w:szCs w:val="28"/>
        </w:rPr>
        <w:t>1、队伍建设总体情况</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9" w:hRule="atLeast"/>
        </w:trPr>
        <w:tc>
          <w:tcPr>
            <w:tcW w:w="8522" w:type="dxa"/>
          </w:tcPr>
          <w:p>
            <w:pPr>
              <w:adjustRightInd w:val="0"/>
              <w:snapToGrid w:val="0"/>
              <w:ind w:firstLine="480" w:firstLineChars="200"/>
              <w:rPr>
                <w:rFonts w:eastAsia="楷体_GB2312"/>
                <w:sz w:val="24"/>
                <w:szCs w:val="24"/>
              </w:rPr>
            </w:pPr>
            <w:r>
              <w:rPr>
                <w:rFonts w:eastAsia="楷体_GB2312"/>
                <w:sz w:val="24"/>
                <w:szCs w:val="24"/>
              </w:rPr>
              <w:t>简述实验室队伍的总体情况，包括总人数，队伍结构，40岁以下研究骨干比例及作用。简要介绍评估期内队伍建设、人才引进情况，以及吸引、培养优秀中青年人才的措施及取得的成绩。（800字以内）</w:t>
            </w:r>
          </w:p>
          <w:p>
            <w:pPr>
              <w:adjustRightInd w:val="0"/>
              <w:snapToGrid w:val="0"/>
              <w:spacing w:before="156" w:beforeLines="5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实验室现有固定人员50人，正高职称28名，博士生导师23名。其中固定研究人员38名（博士37名，且47%具有海外留学经历），技术人员10名（博士3名），行政管理人员2名。现有研究人员队伍中，年龄结构合理，40岁以下青年研究骨干（16名）占研究队伍人员（38名）比例为42%，在实验室建设中发挥了重要的作用，实验室发展后继有人。</w:t>
            </w:r>
          </w:p>
          <w:p>
            <w:pPr>
              <w:adjustRightInd w:val="0"/>
              <w:snapToGrid w:val="0"/>
              <w:spacing w:before="156" w:beforeLines="50" w:line="360" w:lineRule="auto"/>
              <w:ind w:firstLine="480" w:firstLineChars="200"/>
              <w:rPr>
                <w:rFonts w:asciiTheme="minorEastAsia" w:hAnsiTheme="minorEastAsia" w:eastAsiaTheme="minorEastAsia"/>
                <w:b/>
                <w:sz w:val="24"/>
                <w:szCs w:val="24"/>
              </w:rPr>
            </w:pPr>
            <w:r>
              <w:rPr>
                <w:rFonts w:hint="eastAsia" w:asciiTheme="minorEastAsia" w:hAnsiTheme="minorEastAsia" w:eastAsiaTheme="minorEastAsia"/>
                <w:sz w:val="24"/>
                <w:szCs w:val="24"/>
              </w:rPr>
              <w:t>团队中有国家“万人计划”领军人才1人，国家自然科学基金杰出青年科学基金获得者1人，国家“百千万人才工程”人选3人，国家有突出贡献中青年专家3人，英国皇家化学会会士1人，享受国务院政府特殊津贴专家4人，广西院士后备培养工程人选2人，广西“八桂学者”4名，教育部新世纪“优秀人才支持计划”人选4人，广西优秀专家3名，“广西十百千人才工程”第一层次人选1人，广西“新世纪十百千人才工程”第二层次人选8人，广西杰出青年科学基金获得者11人。有“天然活性物质的发现、结构改造与功能”教育部创新团队1个，广西自然科学基金创新研究团队4个。</w:t>
            </w:r>
          </w:p>
          <w:p>
            <w:pPr>
              <w:adjustRightInd w:val="0"/>
              <w:snapToGrid w:val="0"/>
              <w:spacing w:before="156" w:beforeLines="5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实验室制定了</w:t>
            </w:r>
            <w:r>
              <w:rPr>
                <w:rFonts w:hint="eastAsia" w:asciiTheme="minorEastAsia" w:hAnsiTheme="minorEastAsia" w:eastAsiaTheme="minorEastAsia"/>
                <w:sz w:val="24"/>
                <w:szCs w:val="24"/>
              </w:rPr>
              <w:t>加强</w:t>
            </w:r>
            <w:r>
              <w:rPr>
                <w:rFonts w:asciiTheme="minorEastAsia" w:hAnsiTheme="minorEastAsia" w:eastAsiaTheme="minorEastAsia"/>
                <w:sz w:val="24"/>
                <w:szCs w:val="24"/>
              </w:rPr>
              <w:t>人才引进</w:t>
            </w:r>
            <w:r>
              <w:rPr>
                <w:rFonts w:hint="eastAsia" w:asciiTheme="minorEastAsia" w:hAnsiTheme="minorEastAsia" w:eastAsiaTheme="minorEastAsia"/>
                <w:sz w:val="24"/>
                <w:szCs w:val="24"/>
              </w:rPr>
              <w:t>和培养</w:t>
            </w:r>
            <w:r>
              <w:rPr>
                <w:rFonts w:asciiTheme="minorEastAsia" w:hAnsiTheme="minorEastAsia" w:eastAsiaTheme="minorEastAsia"/>
                <w:sz w:val="24"/>
                <w:szCs w:val="24"/>
              </w:rPr>
              <w:t>的相关政策，对引进人才给予科研启动经费和政策倾斜；根据依托单位的高层次人才配套政策制定了“千人计划”、“长江学者”引进计划，设立广西“八桂学者”、“特聘专家”岗位等；</w:t>
            </w:r>
            <w:r>
              <w:rPr>
                <w:rFonts w:hint="eastAsia" w:asciiTheme="minorEastAsia" w:hAnsiTheme="minorEastAsia" w:eastAsiaTheme="minorEastAsia"/>
                <w:sz w:val="24"/>
                <w:szCs w:val="24"/>
              </w:rPr>
              <w:t>重点实验室还设立专职科研岗，实行柔性引进人才等政策</w:t>
            </w:r>
            <w:r>
              <w:rPr>
                <w:rFonts w:asciiTheme="minorEastAsia" w:hAnsiTheme="minorEastAsia" w:eastAsiaTheme="minorEastAsia"/>
                <w:sz w:val="24"/>
                <w:szCs w:val="24"/>
              </w:rPr>
              <w:t>。</w:t>
            </w:r>
            <w:r>
              <w:rPr>
                <w:rFonts w:hint="eastAsia" w:asciiTheme="minorEastAsia" w:hAnsiTheme="minorEastAsia" w:eastAsiaTheme="minorEastAsia"/>
                <w:b/>
                <w:sz w:val="24"/>
                <w:szCs w:val="24"/>
              </w:rPr>
              <w:t>2014-2018年期间</w:t>
            </w:r>
            <w:r>
              <w:rPr>
                <w:rFonts w:asciiTheme="minorEastAsia" w:hAnsiTheme="minorEastAsia" w:eastAsiaTheme="minorEastAsia"/>
                <w:b/>
                <w:sz w:val="24"/>
                <w:szCs w:val="24"/>
              </w:rPr>
              <w:t>，</w:t>
            </w:r>
            <w:r>
              <w:rPr>
                <w:rFonts w:asciiTheme="minorEastAsia" w:hAnsiTheme="minorEastAsia" w:eastAsiaTheme="minorEastAsia"/>
                <w:sz w:val="24"/>
                <w:szCs w:val="24"/>
              </w:rPr>
              <w:t>在人才队伍建设取得了显著的成绩</w:t>
            </w:r>
            <w:r>
              <w:rPr>
                <w:rFonts w:hint="eastAsia" w:asciiTheme="minorEastAsia" w:hAnsiTheme="minorEastAsia" w:eastAsiaTheme="minorEastAsia"/>
                <w:sz w:val="24"/>
                <w:szCs w:val="24"/>
              </w:rPr>
              <w:t>：新增国家“万人计划”领军人才1人，</w:t>
            </w:r>
            <w:r>
              <w:rPr>
                <w:rFonts w:asciiTheme="minorEastAsia" w:hAnsiTheme="minorEastAsia" w:eastAsiaTheme="minorEastAsia"/>
                <w:sz w:val="24"/>
                <w:szCs w:val="24"/>
              </w:rPr>
              <w:t>国家杰出青年基金获得者1人，国家“百千万人才工程”人选</w:t>
            </w:r>
            <w:r>
              <w:rPr>
                <w:rFonts w:hint="eastAsia" w:asciiTheme="minorEastAsia" w:hAnsiTheme="minorEastAsia" w:eastAsiaTheme="minorEastAsia"/>
                <w:sz w:val="24"/>
                <w:szCs w:val="24"/>
              </w:rPr>
              <w:t>2人，广西院士后备培养工程人选2人，广西“十百千人才工程”人选3人，</w:t>
            </w:r>
            <w:r>
              <w:rPr>
                <w:rFonts w:asciiTheme="minorEastAsia" w:hAnsiTheme="minorEastAsia" w:eastAsiaTheme="minorEastAsia"/>
                <w:sz w:val="24"/>
                <w:szCs w:val="24"/>
              </w:rPr>
              <w:t>广西 “八桂学者”</w:t>
            </w:r>
            <w:r>
              <w:rPr>
                <w:rFonts w:hint="eastAsia" w:asciiTheme="minorEastAsia" w:hAnsiTheme="minorEastAsia" w:eastAsiaTheme="minorEastAsia"/>
                <w:sz w:val="24"/>
                <w:szCs w:val="24"/>
              </w:rPr>
              <w:t>3人，广西“青年八桂学者”1人，</w:t>
            </w:r>
            <w:r>
              <w:rPr>
                <w:rFonts w:asciiTheme="minorEastAsia" w:hAnsiTheme="minorEastAsia" w:eastAsiaTheme="minorEastAsia"/>
                <w:sz w:val="24"/>
                <w:szCs w:val="24"/>
              </w:rPr>
              <w:t>广西自然科学基金创新团队带头人</w:t>
            </w:r>
            <w:r>
              <w:rPr>
                <w:rFonts w:hint="eastAsia" w:asciiTheme="minorEastAsia" w:hAnsiTheme="minorEastAsia" w:eastAsiaTheme="minorEastAsia"/>
                <w:sz w:val="24"/>
                <w:szCs w:val="24"/>
              </w:rPr>
              <w:t>2人</w:t>
            </w:r>
            <w:r>
              <w:rPr>
                <w:rFonts w:asciiTheme="minorEastAsia" w:hAnsiTheme="minorEastAsia" w:eastAsiaTheme="minorEastAsia"/>
                <w:sz w:val="24"/>
                <w:szCs w:val="24"/>
              </w:rPr>
              <w:t>，广西杰出青年基金获得者</w:t>
            </w:r>
            <w:r>
              <w:rPr>
                <w:rFonts w:hint="eastAsia" w:asciiTheme="minorEastAsia" w:hAnsiTheme="minorEastAsia" w:eastAsiaTheme="minorEastAsia"/>
                <w:sz w:val="24"/>
                <w:szCs w:val="24"/>
              </w:rPr>
              <w:t>7人</w:t>
            </w:r>
            <w:r>
              <w:rPr>
                <w:rFonts w:asciiTheme="minorEastAsia" w:hAnsiTheme="minorEastAsia" w:eastAsiaTheme="minorEastAsia"/>
                <w:sz w:val="24"/>
                <w:szCs w:val="24"/>
              </w:rPr>
              <w:t>，教育部创新团队获滚动支持。先后引进药学相关的博士、博士后</w:t>
            </w:r>
            <w:r>
              <w:rPr>
                <w:rFonts w:hint="eastAsia" w:asciiTheme="minorEastAsia" w:hAnsiTheme="minorEastAsia" w:eastAsiaTheme="minorEastAsia"/>
                <w:sz w:val="24"/>
                <w:szCs w:val="24"/>
              </w:rPr>
              <w:t>8</w:t>
            </w:r>
            <w:r>
              <w:rPr>
                <w:rFonts w:asciiTheme="minorEastAsia" w:hAnsiTheme="minorEastAsia" w:eastAsiaTheme="minorEastAsia"/>
                <w:sz w:val="24"/>
                <w:szCs w:val="24"/>
              </w:rPr>
              <w:t>人。</w:t>
            </w:r>
          </w:p>
          <w:p>
            <w:pPr>
              <w:adjustRightInd w:val="0"/>
              <w:snapToGrid w:val="0"/>
              <w:spacing w:before="156" w:beforeLines="50" w:line="276" w:lineRule="auto"/>
              <w:ind w:firstLine="482" w:firstLineChars="200"/>
              <w:rPr>
                <w:rFonts w:eastAsia="黑体"/>
                <w:b/>
                <w:sz w:val="24"/>
                <w:szCs w:val="24"/>
              </w:rPr>
            </w:pPr>
          </w:p>
        </w:tc>
      </w:tr>
    </w:tbl>
    <w:p>
      <w:pPr>
        <w:adjustRightInd w:val="0"/>
        <w:snapToGrid w:val="0"/>
        <w:spacing w:line="360" w:lineRule="auto"/>
        <w:rPr>
          <w:rFonts w:eastAsia="黑体"/>
          <w:b/>
          <w:sz w:val="28"/>
          <w:szCs w:val="24"/>
        </w:rPr>
      </w:pPr>
    </w:p>
    <w:p>
      <w:pPr>
        <w:widowControl/>
        <w:jc w:val="left"/>
        <w:rPr>
          <w:rFonts w:eastAsia="黑体"/>
          <w:b/>
          <w:sz w:val="28"/>
          <w:szCs w:val="24"/>
        </w:rPr>
      </w:pPr>
      <w:r>
        <w:rPr>
          <w:rFonts w:eastAsia="黑体"/>
          <w:b/>
          <w:sz w:val="28"/>
          <w:szCs w:val="24"/>
        </w:rPr>
        <w:t>2、实验室主任和学术带头人</w:t>
      </w:r>
    </w:p>
    <w:tbl>
      <w:tblPr>
        <w:tblStyle w:val="1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1" w:hRule="atLeast"/>
          <w:jc w:val="center"/>
        </w:trPr>
        <w:tc>
          <w:tcPr>
            <w:tcW w:w="8522" w:type="dxa"/>
          </w:tcPr>
          <w:p>
            <w:pPr>
              <w:adjustRightInd w:val="0"/>
              <w:snapToGrid w:val="0"/>
              <w:ind w:firstLine="480" w:firstLineChars="200"/>
              <w:rPr>
                <w:rFonts w:eastAsia="楷体_GB2312"/>
                <w:sz w:val="24"/>
                <w:szCs w:val="24"/>
              </w:rPr>
            </w:pPr>
            <w:r>
              <w:rPr>
                <w:rFonts w:eastAsia="楷体_GB2312"/>
                <w:sz w:val="24"/>
                <w:szCs w:val="24"/>
              </w:rPr>
              <w:t>简要列举实验室主任及学术带头人学术简历。（学术带头人为各研究方向带头人，每个学术简历不超过200字）</w:t>
            </w:r>
          </w:p>
          <w:p>
            <w:pPr>
              <w:adjustRightInd w:val="0"/>
              <w:snapToGrid w:val="0"/>
              <w:spacing w:before="100" w:line="360" w:lineRule="auto"/>
              <w:ind w:firstLine="482" w:firstLineChars="200"/>
              <w:rPr>
                <w:rFonts w:eastAsiaTheme="minorEastAsia"/>
                <w:b/>
                <w:bCs/>
                <w:sz w:val="24"/>
                <w:szCs w:val="24"/>
              </w:rPr>
            </w:pPr>
            <w:r>
              <w:rPr>
                <w:rFonts w:eastAsiaTheme="minorEastAsia"/>
                <w:b/>
                <w:bCs/>
                <w:sz w:val="24"/>
                <w:szCs w:val="24"/>
              </w:rPr>
              <w:t>现任实验室主任兼学术带头人：</w:t>
            </w:r>
          </w:p>
          <w:p>
            <w:pPr>
              <w:adjustRightInd w:val="0"/>
              <w:snapToGrid w:val="0"/>
              <w:spacing w:before="100" w:line="360" w:lineRule="auto"/>
              <w:ind w:firstLine="482" w:firstLineChars="200"/>
              <w:rPr>
                <w:rFonts w:eastAsiaTheme="minorEastAsia"/>
                <w:sz w:val="24"/>
                <w:szCs w:val="24"/>
              </w:rPr>
            </w:pPr>
            <w:r>
              <w:rPr>
                <w:rFonts w:eastAsiaTheme="minorEastAsia"/>
                <w:b/>
                <w:sz w:val="24"/>
                <w:szCs w:val="24"/>
              </w:rPr>
              <w:t>梁宏</w:t>
            </w:r>
            <w:r>
              <w:rPr>
                <w:rFonts w:eastAsiaTheme="minorEastAsia"/>
                <w:sz w:val="24"/>
                <w:szCs w:val="24"/>
              </w:rPr>
              <w:t>，男，博士(南开大学)，</w:t>
            </w:r>
            <w:r>
              <w:rPr>
                <w:rFonts w:eastAsiaTheme="minorEastAsia"/>
                <w:bCs/>
                <w:sz w:val="24"/>
                <w:szCs w:val="24"/>
              </w:rPr>
              <w:t>二级</w:t>
            </w:r>
            <w:r>
              <w:rPr>
                <w:rFonts w:eastAsiaTheme="minorEastAsia"/>
                <w:sz w:val="24"/>
                <w:szCs w:val="24"/>
              </w:rPr>
              <w:t>教授。广西科协副主席。国家“万人计划”领军人才</w:t>
            </w:r>
            <w:r>
              <w:rPr>
                <w:rFonts w:hint="eastAsia" w:eastAsiaTheme="minorEastAsia"/>
                <w:sz w:val="24"/>
                <w:szCs w:val="24"/>
              </w:rPr>
              <w:t>、</w:t>
            </w:r>
            <w:r>
              <w:rPr>
                <w:rFonts w:eastAsiaTheme="minorEastAsia"/>
                <w:sz w:val="24"/>
                <w:szCs w:val="24"/>
              </w:rPr>
              <w:t>英国皇家化学会会士、国家首批"百千万人才工程"人选、</w:t>
            </w:r>
            <w:r>
              <w:rPr>
                <w:rFonts w:eastAsiaTheme="minorEastAsia"/>
                <w:bCs/>
                <w:iCs/>
                <w:sz w:val="24"/>
                <w:szCs w:val="24"/>
              </w:rPr>
              <w:t>广西</w:t>
            </w:r>
            <w:r>
              <w:rPr>
                <w:rFonts w:hint="eastAsia" w:eastAsiaTheme="minorEastAsia"/>
                <w:bCs/>
                <w:iCs/>
                <w:sz w:val="24"/>
                <w:szCs w:val="24"/>
              </w:rPr>
              <w:t>院士后备培养工程人选</w:t>
            </w:r>
            <w:r>
              <w:rPr>
                <w:rFonts w:hint="eastAsia" w:eastAsiaTheme="minorEastAsia"/>
                <w:sz w:val="24"/>
                <w:szCs w:val="24"/>
              </w:rPr>
              <w:t>；</w:t>
            </w:r>
            <w:r>
              <w:rPr>
                <w:rFonts w:hint="eastAsia" w:eastAsiaTheme="minorEastAsia"/>
                <w:i/>
                <w:sz w:val="24"/>
                <w:szCs w:val="24"/>
              </w:rPr>
              <w:t>J. Inorg. Biochem.</w:t>
            </w:r>
            <w:r>
              <w:rPr>
                <w:rFonts w:hint="eastAsia" w:eastAsiaTheme="minorEastAsia"/>
                <w:sz w:val="24"/>
                <w:szCs w:val="24"/>
              </w:rPr>
              <w:t>编委</w:t>
            </w:r>
            <w:r>
              <w:rPr>
                <w:rFonts w:eastAsiaTheme="minorEastAsia"/>
                <w:sz w:val="24"/>
                <w:szCs w:val="24"/>
              </w:rPr>
              <w:t>。</w:t>
            </w:r>
            <w:r>
              <w:rPr>
                <w:rFonts w:hint="eastAsia" w:eastAsiaTheme="minorEastAsia"/>
                <w:sz w:val="24"/>
                <w:szCs w:val="24"/>
              </w:rPr>
              <w:t>主要从事生物无机和无机药物化学研究，</w:t>
            </w:r>
            <w:r>
              <w:rPr>
                <w:rFonts w:eastAsiaTheme="minorEastAsia"/>
                <w:sz w:val="24"/>
                <w:szCs w:val="24"/>
              </w:rPr>
              <w:t>先后主持国家自然科学基金重点项目等国家级项目10项，在</w:t>
            </w:r>
            <w:r>
              <w:rPr>
                <w:rFonts w:eastAsiaTheme="minorEastAsia"/>
                <w:i/>
                <w:sz w:val="24"/>
                <w:szCs w:val="24"/>
              </w:rPr>
              <w:t xml:space="preserve">Nat. Commun., </w:t>
            </w:r>
            <w:r>
              <w:rPr>
                <w:rFonts w:hint="eastAsia" w:eastAsiaTheme="minorEastAsia"/>
                <w:i/>
                <w:sz w:val="24"/>
                <w:szCs w:val="24"/>
              </w:rPr>
              <w:t xml:space="preserve">Angew.Chim. Int. Ed., </w:t>
            </w:r>
            <w:r>
              <w:rPr>
                <w:rFonts w:eastAsiaTheme="minorEastAsia"/>
                <w:i/>
                <w:sz w:val="24"/>
                <w:szCs w:val="24"/>
              </w:rPr>
              <w:t>J. Med. Chem., Mol. Pharm.</w:t>
            </w:r>
            <w:r>
              <w:rPr>
                <w:rFonts w:hint="eastAsia" w:eastAsiaTheme="minorEastAsia"/>
                <w:i/>
                <w:sz w:val="24"/>
                <w:szCs w:val="24"/>
              </w:rPr>
              <w:t>, Chem. Commun.</w:t>
            </w:r>
            <w:r>
              <w:rPr>
                <w:rFonts w:eastAsiaTheme="minorEastAsia"/>
                <w:sz w:val="24"/>
                <w:szCs w:val="24"/>
              </w:rPr>
              <w:t>等期刊发表SCI论文300余篇</w:t>
            </w:r>
            <w:r>
              <w:rPr>
                <w:rFonts w:hint="eastAsia" w:eastAsiaTheme="minorEastAsia"/>
                <w:sz w:val="24"/>
                <w:szCs w:val="24"/>
              </w:rPr>
              <w:t>,SCI引用6000余次</w:t>
            </w:r>
            <w:r>
              <w:rPr>
                <w:rFonts w:eastAsiaTheme="minorEastAsia"/>
                <w:sz w:val="24"/>
                <w:szCs w:val="24"/>
              </w:rPr>
              <w:t>。获广西科学技术奖特别贡献奖1项和一等奖2项（</w:t>
            </w:r>
            <w:r>
              <w:rPr>
                <w:rFonts w:hint="eastAsia" w:eastAsiaTheme="minorEastAsia"/>
                <w:sz w:val="24"/>
                <w:szCs w:val="24"/>
              </w:rPr>
              <w:t>均排名1）等省级科学技术奖励10余项</w:t>
            </w:r>
            <w:r>
              <w:rPr>
                <w:rFonts w:eastAsiaTheme="minorEastAsia"/>
                <w:sz w:val="24"/>
                <w:szCs w:val="24"/>
              </w:rPr>
              <w:t>。2011、2013年中国科学院院士增选有效候选人。</w:t>
            </w:r>
          </w:p>
          <w:p>
            <w:pPr>
              <w:adjustRightInd w:val="0"/>
              <w:snapToGrid w:val="0"/>
              <w:spacing w:before="100" w:line="360" w:lineRule="auto"/>
              <w:ind w:firstLine="482" w:firstLineChars="200"/>
              <w:rPr>
                <w:rFonts w:eastAsiaTheme="minorEastAsia"/>
                <w:bCs/>
                <w:sz w:val="24"/>
                <w:szCs w:val="24"/>
              </w:rPr>
            </w:pPr>
            <w:r>
              <w:rPr>
                <w:rFonts w:eastAsiaTheme="minorEastAsia"/>
                <w:b/>
                <w:bCs/>
                <w:sz w:val="24"/>
                <w:szCs w:val="24"/>
              </w:rPr>
              <w:t>现任实验室</w:t>
            </w:r>
            <w:r>
              <w:rPr>
                <w:rFonts w:hint="eastAsia" w:eastAsiaTheme="minorEastAsia"/>
                <w:b/>
                <w:bCs/>
                <w:sz w:val="24"/>
                <w:szCs w:val="24"/>
              </w:rPr>
              <w:t>副</w:t>
            </w:r>
            <w:r>
              <w:rPr>
                <w:rFonts w:eastAsiaTheme="minorEastAsia"/>
                <w:b/>
                <w:bCs/>
                <w:sz w:val="24"/>
                <w:szCs w:val="24"/>
              </w:rPr>
              <w:t>主任兼学术带头人</w:t>
            </w:r>
            <w:r>
              <w:rPr>
                <w:rFonts w:eastAsiaTheme="minorEastAsia"/>
                <w:bCs/>
                <w:sz w:val="24"/>
                <w:szCs w:val="24"/>
              </w:rPr>
              <w:t>：</w:t>
            </w:r>
          </w:p>
          <w:p>
            <w:pPr>
              <w:adjustRightInd w:val="0"/>
              <w:snapToGrid w:val="0"/>
              <w:spacing w:before="100" w:line="360" w:lineRule="auto"/>
              <w:ind w:firstLine="482" w:firstLineChars="200"/>
              <w:rPr>
                <w:rFonts w:eastAsiaTheme="minorEastAsia"/>
                <w:bCs/>
                <w:sz w:val="24"/>
                <w:szCs w:val="24"/>
              </w:rPr>
            </w:pPr>
            <w:r>
              <w:rPr>
                <w:rFonts w:eastAsiaTheme="minorEastAsia"/>
                <w:b/>
                <w:sz w:val="24"/>
                <w:szCs w:val="24"/>
              </w:rPr>
              <w:t>陈振锋，</w:t>
            </w:r>
            <w:r>
              <w:rPr>
                <w:rFonts w:eastAsiaTheme="minorEastAsia"/>
                <w:bCs/>
                <w:sz w:val="24"/>
                <w:szCs w:val="24"/>
              </w:rPr>
              <w:t>博士(南京大学)，二级教授。</w:t>
            </w:r>
            <w:r>
              <w:rPr>
                <w:rFonts w:eastAsiaTheme="minorEastAsia"/>
                <w:sz w:val="24"/>
                <w:szCs w:val="24"/>
              </w:rPr>
              <w:t>国家"百千万人才工程"人选，国家有突出贡献中青年专家，</w:t>
            </w:r>
            <w:r>
              <w:rPr>
                <w:rFonts w:eastAsiaTheme="minorEastAsia"/>
                <w:bCs/>
                <w:sz w:val="24"/>
                <w:szCs w:val="24"/>
              </w:rPr>
              <w:t>教育部创新研究团队带头人</w:t>
            </w:r>
            <w:r>
              <w:rPr>
                <w:rFonts w:hint="eastAsia" w:eastAsiaTheme="minorEastAsia"/>
                <w:bCs/>
                <w:sz w:val="24"/>
                <w:szCs w:val="24"/>
              </w:rPr>
              <w:t>及</w:t>
            </w:r>
            <w:r>
              <w:rPr>
                <w:rFonts w:eastAsiaTheme="minorEastAsia"/>
                <w:bCs/>
                <w:sz w:val="24"/>
                <w:szCs w:val="24"/>
              </w:rPr>
              <w:t>"新世纪优秀人才支持计划"人选，广西"八桂学者"。</w:t>
            </w:r>
            <w:r>
              <w:rPr>
                <w:rFonts w:hint="eastAsia" w:eastAsiaTheme="minorEastAsia"/>
                <w:bCs/>
                <w:sz w:val="24"/>
                <w:szCs w:val="24"/>
              </w:rPr>
              <w:t>主要从事中药活性成分金属药物化学研究，</w:t>
            </w:r>
            <w:r>
              <w:rPr>
                <w:rFonts w:eastAsiaTheme="minorEastAsia"/>
                <w:bCs/>
                <w:sz w:val="24"/>
                <w:szCs w:val="24"/>
              </w:rPr>
              <w:t>提出基于中药活性成分与金属活性中心配位调控效应设计金属药物的思想。</w:t>
            </w:r>
            <w:r>
              <w:rPr>
                <w:rFonts w:eastAsiaTheme="minorEastAsia"/>
                <w:sz w:val="24"/>
                <w:szCs w:val="24"/>
              </w:rPr>
              <w:t>主持国家级项目5项。</w:t>
            </w:r>
            <w:r>
              <w:rPr>
                <w:rFonts w:eastAsiaTheme="minorEastAsia"/>
                <w:bCs/>
                <w:sz w:val="24"/>
                <w:szCs w:val="24"/>
              </w:rPr>
              <w:t>在</w:t>
            </w:r>
            <w:r>
              <w:rPr>
                <w:rFonts w:eastAsiaTheme="minorEastAsia"/>
                <w:bCs/>
                <w:i/>
                <w:sz w:val="24"/>
                <w:szCs w:val="24"/>
              </w:rPr>
              <w:t>J. Med. Chem.,</w:t>
            </w:r>
            <w:r>
              <w:rPr>
                <w:rFonts w:hint="eastAsia" w:eastAsiaTheme="minorEastAsia"/>
                <w:bCs/>
                <w:i/>
                <w:sz w:val="24"/>
                <w:szCs w:val="24"/>
              </w:rPr>
              <w:t xml:space="preserve"> Eur. J. Med. Chem.</w:t>
            </w:r>
            <w:r>
              <w:rPr>
                <w:rFonts w:eastAsiaTheme="minorEastAsia"/>
                <w:bCs/>
                <w:sz w:val="24"/>
                <w:szCs w:val="24"/>
              </w:rPr>
              <w:t>等发表SCI论文220余篇，获授权发明专利48项。</w:t>
            </w:r>
            <w:r>
              <w:rPr>
                <w:rFonts w:eastAsiaTheme="minorEastAsia"/>
                <w:sz w:val="24"/>
                <w:szCs w:val="24"/>
              </w:rPr>
              <w:t>获广西科学技术奖特别贡献奖和一等奖</w:t>
            </w:r>
            <w:r>
              <w:rPr>
                <w:rFonts w:hint="eastAsia" w:eastAsiaTheme="minorEastAsia"/>
                <w:sz w:val="24"/>
                <w:szCs w:val="24"/>
              </w:rPr>
              <w:t>各</w:t>
            </w:r>
            <w:r>
              <w:rPr>
                <w:rFonts w:eastAsiaTheme="minorEastAsia"/>
                <w:sz w:val="24"/>
                <w:szCs w:val="24"/>
              </w:rPr>
              <w:t>1项（</w:t>
            </w:r>
            <w:r>
              <w:rPr>
                <w:rFonts w:hint="eastAsia" w:eastAsiaTheme="minorEastAsia"/>
                <w:sz w:val="24"/>
                <w:szCs w:val="24"/>
              </w:rPr>
              <w:t>均排名2）</w:t>
            </w:r>
            <w:r>
              <w:rPr>
                <w:rFonts w:eastAsiaTheme="minorEastAsia"/>
                <w:bCs/>
                <w:sz w:val="24"/>
                <w:szCs w:val="24"/>
              </w:rPr>
              <w:t>。</w:t>
            </w:r>
          </w:p>
          <w:p>
            <w:pPr>
              <w:adjustRightInd w:val="0"/>
              <w:snapToGrid w:val="0"/>
              <w:spacing w:before="100" w:line="360" w:lineRule="auto"/>
              <w:ind w:firstLine="482" w:firstLineChars="200"/>
              <w:rPr>
                <w:rFonts w:eastAsiaTheme="minorEastAsia"/>
                <w:sz w:val="24"/>
                <w:szCs w:val="24"/>
              </w:rPr>
            </w:pPr>
            <w:r>
              <w:rPr>
                <w:rFonts w:eastAsiaTheme="minorEastAsia"/>
                <w:b/>
                <w:bCs/>
                <w:sz w:val="24"/>
                <w:szCs w:val="24"/>
              </w:rPr>
              <w:t>沈星灿，</w:t>
            </w:r>
            <w:r>
              <w:rPr>
                <w:rFonts w:eastAsiaTheme="minorEastAsia"/>
                <w:sz w:val="24"/>
                <w:szCs w:val="24"/>
              </w:rPr>
              <w:t>女，博士(南开大学)，</w:t>
            </w:r>
            <w:r>
              <w:rPr>
                <w:rFonts w:eastAsiaTheme="minorEastAsia"/>
                <w:bCs/>
                <w:sz w:val="24"/>
                <w:szCs w:val="24"/>
              </w:rPr>
              <w:t>二级</w:t>
            </w:r>
            <w:r>
              <w:rPr>
                <w:rFonts w:eastAsiaTheme="minorEastAsia"/>
                <w:bCs/>
                <w:iCs/>
                <w:sz w:val="24"/>
                <w:szCs w:val="24"/>
              </w:rPr>
              <w:t>教授</w:t>
            </w:r>
            <w:r>
              <w:rPr>
                <w:rFonts w:eastAsiaTheme="minorEastAsia"/>
                <w:bCs/>
                <w:sz w:val="24"/>
                <w:szCs w:val="24"/>
              </w:rPr>
              <w:t>。教育部"新世纪优秀人才支持计划"人选</w:t>
            </w:r>
            <w:r>
              <w:rPr>
                <w:rFonts w:eastAsiaTheme="minorEastAsia"/>
                <w:sz w:val="24"/>
                <w:szCs w:val="24"/>
              </w:rPr>
              <w:t>。现任广西师范大学化学与药学学院院长。从事纳米生物材料及其生物效应的系统研究，先后主持国家自然科学基金项目4项、省部级项目10余项。在</w:t>
            </w:r>
            <w:r>
              <w:rPr>
                <w:rFonts w:eastAsiaTheme="minorEastAsia"/>
                <w:i/>
                <w:sz w:val="24"/>
                <w:szCs w:val="24"/>
              </w:rPr>
              <w:t>Chem Sci., Small, Carbon, Chem.Comm.</w:t>
            </w:r>
            <w:r>
              <w:rPr>
                <w:rFonts w:hint="eastAsia" w:eastAsiaTheme="minorEastAsia"/>
                <w:sz w:val="24"/>
                <w:szCs w:val="24"/>
              </w:rPr>
              <w:t>,《</w:t>
            </w:r>
            <w:r>
              <w:rPr>
                <w:rFonts w:eastAsiaTheme="minorEastAsia"/>
                <w:sz w:val="24"/>
                <w:szCs w:val="24"/>
              </w:rPr>
              <w:t>中国科学》等发表SCI论文70篇，</w:t>
            </w:r>
            <w:r>
              <w:rPr>
                <w:rFonts w:hint="eastAsia" w:eastAsiaTheme="minorEastAsia"/>
                <w:sz w:val="24"/>
                <w:szCs w:val="24"/>
              </w:rPr>
              <w:t>他引1200余次，</w:t>
            </w:r>
            <w:r>
              <w:rPr>
                <w:rFonts w:eastAsiaTheme="minorEastAsia"/>
                <w:sz w:val="24"/>
                <w:szCs w:val="24"/>
              </w:rPr>
              <w:t>受邀在国内国际学术会议做报告20余次。曾获广西科</w:t>
            </w:r>
            <w:r>
              <w:rPr>
                <w:rFonts w:hint="eastAsia" w:eastAsiaTheme="minorEastAsia"/>
                <w:sz w:val="24"/>
                <w:szCs w:val="24"/>
              </w:rPr>
              <w:t>学</w:t>
            </w:r>
            <w:r>
              <w:rPr>
                <w:rFonts w:eastAsiaTheme="minorEastAsia"/>
                <w:sz w:val="24"/>
                <w:szCs w:val="24"/>
              </w:rPr>
              <w:t>技</w:t>
            </w:r>
            <w:r>
              <w:rPr>
                <w:rFonts w:hint="eastAsia" w:eastAsiaTheme="minorEastAsia"/>
                <w:sz w:val="24"/>
                <w:szCs w:val="24"/>
              </w:rPr>
              <w:t>术奖</w:t>
            </w:r>
            <w:r>
              <w:rPr>
                <w:rFonts w:eastAsiaTheme="minorEastAsia"/>
                <w:sz w:val="24"/>
                <w:szCs w:val="24"/>
              </w:rPr>
              <w:t>特别贡献奖（</w:t>
            </w:r>
            <w:r>
              <w:rPr>
                <w:rFonts w:hint="eastAsia" w:eastAsiaTheme="minorEastAsia"/>
                <w:sz w:val="24"/>
                <w:szCs w:val="24"/>
              </w:rPr>
              <w:t>排名4）、</w:t>
            </w:r>
            <w:r>
              <w:rPr>
                <w:rFonts w:eastAsiaTheme="minorEastAsia"/>
                <w:sz w:val="24"/>
                <w:szCs w:val="24"/>
              </w:rPr>
              <w:t>科技进步</w:t>
            </w:r>
            <w:r>
              <w:rPr>
                <w:rFonts w:hint="eastAsia" w:eastAsiaTheme="minorEastAsia"/>
                <w:sz w:val="24"/>
                <w:szCs w:val="24"/>
              </w:rPr>
              <w:t>奖</w:t>
            </w:r>
            <w:r>
              <w:rPr>
                <w:rFonts w:eastAsiaTheme="minorEastAsia"/>
                <w:sz w:val="24"/>
                <w:szCs w:val="24"/>
              </w:rPr>
              <w:t>一等奖（</w:t>
            </w:r>
            <w:r>
              <w:rPr>
                <w:rFonts w:hint="eastAsia" w:eastAsiaTheme="minorEastAsia"/>
                <w:sz w:val="24"/>
                <w:szCs w:val="24"/>
              </w:rPr>
              <w:t>排名2）和</w:t>
            </w:r>
            <w:r>
              <w:rPr>
                <w:rFonts w:eastAsiaTheme="minorEastAsia"/>
                <w:sz w:val="24"/>
                <w:szCs w:val="24"/>
              </w:rPr>
              <w:t>自然科学</w:t>
            </w:r>
            <w:r>
              <w:rPr>
                <w:rFonts w:hint="eastAsia" w:eastAsiaTheme="minorEastAsia"/>
                <w:sz w:val="24"/>
                <w:szCs w:val="24"/>
              </w:rPr>
              <w:t>奖</w:t>
            </w:r>
            <w:r>
              <w:rPr>
                <w:rFonts w:eastAsiaTheme="minorEastAsia"/>
                <w:sz w:val="24"/>
                <w:szCs w:val="24"/>
              </w:rPr>
              <w:t>二等奖（</w:t>
            </w:r>
            <w:r>
              <w:rPr>
                <w:rFonts w:hint="eastAsia" w:eastAsiaTheme="minorEastAsia"/>
                <w:sz w:val="24"/>
                <w:szCs w:val="24"/>
              </w:rPr>
              <w:t>排名3）各项</w:t>
            </w:r>
            <w:r>
              <w:rPr>
                <w:rFonts w:eastAsiaTheme="minorEastAsia"/>
                <w:sz w:val="24"/>
                <w:szCs w:val="24"/>
              </w:rPr>
              <w:t>。</w:t>
            </w:r>
          </w:p>
          <w:p>
            <w:pPr>
              <w:adjustRightInd w:val="0"/>
              <w:snapToGrid w:val="0"/>
              <w:spacing w:before="100" w:line="360" w:lineRule="auto"/>
              <w:ind w:firstLine="482" w:firstLineChars="200"/>
              <w:rPr>
                <w:rFonts w:eastAsiaTheme="minorEastAsia"/>
                <w:b/>
                <w:sz w:val="28"/>
                <w:szCs w:val="24"/>
              </w:rPr>
            </w:pPr>
            <w:r>
              <w:rPr>
                <w:rFonts w:eastAsiaTheme="minorEastAsia"/>
                <w:b/>
                <w:sz w:val="24"/>
                <w:szCs w:val="24"/>
              </w:rPr>
              <w:t>王恒山，</w:t>
            </w:r>
            <w:r>
              <w:rPr>
                <w:rFonts w:eastAsiaTheme="minorEastAsia"/>
                <w:sz w:val="24"/>
                <w:szCs w:val="24"/>
              </w:rPr>
              <w:t>男，博士(兰州大学)，二</w:t>
            </w:r>
            <w:r>
              <w:rPr>
                <w:rFonts w:hint="eastAsia" w:eastAsiaTheme="minorEastAsia"/>
                <w:sz w:val="24"/>
                <w:szCs w:val="24"/>
              </w:rPr>
              <w:t>级</w:t>
            </w:r>
            <w:r>
              <w:rPr>
                <w:rFonts w:eastAsiaTheme="minorEastAsia"/>
                <w:sz w:val="24"/>
                <w:szCs w:val="24"/>
              </w:rPr>
              <w:t>教授。</w:t>
            </w:r>
            <w:r>
              <w:rPr>
                <w:rFonts w:hint="eastAsia" w:eastAsiaTheme="minorEastAsia"/>
                <w:sz w:val="24"/>
                <w:szCs w:val="24"/>
              </w:rPr>
              <w:t>广西“特聘专家”、</w:t>
            </w:r>
            <w:r>
              <w:rPr>
                <w:rFonts w:eastAsiaTheme="minorEastAsia"/>
                <w:sz w:val="24"/>
                <w:szCs w:val="24"/>
              </w:rPr>
              <w:t>广西"新世纪十百千人才工程"人选。主要从事天然产物化学、手性化合物分离分析和药物的结构改造研究。</w:t>
            </w:r>
            <w:r>
              <w:rPr>
                <w:rFonts w:hint="eastAsia" w:eastAsiaTheme="minorEastAsia"/>
                <w:sz w:val="24"/>
                <w:szCs w:val="24"/>
              </w:rPr>
              <w:t>先后主持国家级项目7项，省部级项目12项。在</w:t>
            </w:r>
            <w:r>
              <w:rPr>
                <w:rFonts w:hint="eastAsia" w:eastAsiaTheme="minorEastAsia"/>
                <w:i/>
                <w:sz w:val="24"/>
                <w:szCs w:val="24"/>
              </w:rPr>
              <w:t>Org. Lett., Green Chem., Chem. Commun.</w:t>
            </w:r>
            <w:r>
              <w:rPr>
                <w:rFonts w:hint="eastAsia" w:eastAsiaTheme="minorEastAsia"/>
                <w:sz w:val="24"/>
                <w:szCs w:val="24"/>
              </w:rPr>
              <w:t>等发表SCI论文150余篇（其中JCR一、二区论文40余篇），他人正面引用1200余次。参编英文专著1部。获得广西自然科学奖二等奖1项和三等奖1项（均排名1）。获发授权明专利8项，部分新产品被美国Sigma-Aldrich等公司采用。</w:t>
            </w:r>
          </w:p>
          <w:p>
            <w:pPr>
              <w:adjustRightInd w:val="0"/>
              <w:snapToGrid w:val="0"/>
              <w:spacing w:before="100" w:line="360" w:lineRule="auto"/>
              <w:ind w:firstLine="482" w:firstLineChars="200"/>
              <w:rPr>
                <w:rFonts w:eastAsiaTheme="minorEastAsia"/>
                <w:b/>
                <w:sz w:val="24"/>
                <w:szCs w:val="24"/>
              </w:rPr>
            </w:pPr>
            <w:r>
              <w:rPr>
                <w:rFonts w:eastAsiaTheme="minorEastAsia"/>
                <w:b/>
                <w:sz w:val="24"/>
                <w:szCs w:val="24"/>
              </w:rPr>
              <w:t>学术带头人：</w:t>
            </w:r>
          </w:p>
          <w:p>
            <w:pPr>
              <w:adjustRightInd w:val="0"/>
              <w:snapToGrid w:val="0"/>
              <w:spacing w:before="100" w:line="360" w:lineRule="auto"/>
              <w:ind w:firstLine="482" w:firstLineChars="200"/>
              <w:rPr>
                <w:rFonts w:eastAsiaTheme="minorEastAsia"/>
                <w:bCs/>
                <w:sz w:val="24"/>
                <w:szCs w:val="24"/>
              </w:rPr>
            </w:pPr>
            <w:r>
              <w:rPr>
                <w:rFonts w:eastAsiaTheme="minorEastAsia"/>
                <w:b/>
                <w:bCs/>
                <w:sz w:val="24"/>
                <w:szCs w:val="24"/>
              </w:rPr>
              <w:t>苏桂发，</w:t>
            </w:r>
            <w:r>
              <w:rPr>
                <w:rFonts w:eastAsiaTheme="minorEastAsia"/>
                <w:bCs/>
                <w:sz w:val="24"/>
                <w:szCs w:val="24"/>
              </w:rPr>
              <w:t>男，博士(中山大学)，二级教授。广西"新世纪十百千人才工程"人选。现任广西师范大学副校长。主要从事杂环化合物的合成与生物活性、</w:t>
            </w:r>
            <w:r>
              <w:rPr>
                <w:rFonts w:hint="eastAsia" w:eastAsiaTheme="minorEastAsia"/>
                <w:bCs/>
                <w:sz w:val="24"/>
                <w:szCs w:val="24"/>
              </w:rPr>
              <w:t>高效有机合成反应等研究</w:t>
            </w:r>
            <w:r>
              <w:rPr>
                <w:rFonts w:eastAsiaTheme="minorEastAsia"/>
                <w:bCs/>
                <w:sz w:val="24"/>
                <w:szCs w:val="24"/>
              </w:rPr>
              <w:t>。</w:t>
            </w:r>
            <w:r>
              <w:rPr>
                <w:rFonts w:eastAsiaTheme="minorEastAsia"/>
                <w:sz w:val="24"/>
                <w:szCs w:val="24"/>
              </w:rPr>
              <w:t>先后主持国家自然科学基金项目3项、省部级项目10余项</w:t>
            </w:r>
            <w:r>
              <w:rPr>
                <w:rFonts w:hint="eastAsia" w:eastAsiaTheme="minorEastAsia"/>
                <w:bCs/>
                <w:sz w:val="24"/>
                <w:szCs w:val="24"/>
              </w:rPr>
              <w:t>。</w:t>
            </w:r>
            <w:r>
              <w:rPr>
                <w:rFonts w:eastAsiaTheme="minorEastAsia"/>
                <w:bCs/>
                <w:sz w:val="24"/>
                <w:szCs w:val="24"/>
              </w:rPr>
              <w:t>在</w:t>
            </w:r>
            <w:r>
              <w:rPr>
                <w:rFonts w:eastAsiaTheme="minorEastAsia"/>
                <w:bCs/>
                <w:i/>
                <w:sz w:val="24"/>
                <w:szCs w:val="24"/>
              </w:rPr>
              <w:t>J. Med. Chem.</w:t>
            </w:r>
            <w:r>
              <w:rPr>
                <w:rFonts w:hint="eastAsia" w:eastAsiaTheme="minorEastAsia"/>
                <w:bCs/>
                <w:i/>
                <w:sz w:val="24"/>
                <w:szCs w:val="24"/>
              </w:rPr>
              <w:t xml:space="preserve">, </w:t>
            </w:r>
            <w:r>
              <w:rPr>
                <w:rFonts w:eastAsiaTheme="minorEastAsia"/>
                <w:bCs/>
                <w:i/>
                <w:sz w:val="24"/>
                <w:szCs w:val="24"/>
              </w:rPr>
              <w:t>Eur. J. Med. Chem.</w:t>
            </w:r>
            <w:r>
              <w:rPr>
                <w:rFonts w:eastAsiaTheme="minorEastAsia"/>
                <w:bCs/>
                <w:sz w:val="24"/>
                <w:szCs w:val="24"/>
              </w:rPr>
              <w:t xml:space="preserve">, </w:t>
            </w:r>
            <w:r>
              <w:rPr>
                <w:rFonts w:eastAsiaTheme="minorEastAsia"/>
                <w:bCs/>
                <w:i/>
                <w:sz w:val="24"/>
                <w:szCs w:val="24"/>
              </w:rPr>
              <w:t>J. Org. Chem.</w:t>
            </w:r>
            <w:r>
              <w:rPr>
                <w:rFonts w:eastAsiaTheme="minorEastAsia"/>
                <w:bCs/>
                <w:sz w:val="24"/>
                <w:szCs w:val="24"/>
              </w:rPr>
              <w:t>等发表</w:t>
            </w:r>
            <w:r>
              <w:rPr>
                <w:rFonts w:hint="eastAsia" w:eastAsiaTheme="minorEastAsia"/>
                <w:bCs/>
                <w:sz w:val="24"/>
                <w:szCs w:val="24"/>
              </w:rPr>
              <w:t>SCI</w:t>
            </w:r>
            <w:r>
              <w:rPr>
                <w:rFonts w:eastAsiaTheme="minorEastAsia"/>
                <w:bCs/>
                <w:sz w:val="24"/>
                <w:szCs w:val="24"/>
              </w:rPr>
              <w:t>论文1</w:t>
            </w:r>
            <w:r>
              <w:rPr>
                <w:rFonts w:hint="eastAsia" w:eastAsiaTheme="minorEastAsia"/>
                <w:bCs/>
                <w:sz w:val="24"/>
                <w:szCs w:val="24"/>
              </w:rPr>
              <w:t>00</w:t>
            </w:r>
            <w:r>
              <w:rPr>
                <w:rFonts w:eastAsiaTheme="minorEastAsia"/>
                <w:bCs/>
                <w:sz w:val="24"/>
                <w:szCs w:val="24"/>
              </w:rPr>
              <w:t>余篇，获得授权发明专利</w:t>
            </w:r>
            <w:r>
              <w:rPr>
                <w:rFonts w:hint="eastAsia" w:eastAsiaTheme="minorEastAsia"/>
                <w:bCs/>
                <w:sz w:val="24"/>
                <w:szCs w:val="24"/>
              </w:rPr>
              <w:t>8</w:t>
            </w:r>
            <w:r>
              <w:rPr>
                <w:rFonts w:eastAsiaTheme="minorEastAsia"/>
                <w:bCs/>
                <w:sz w:val="24"/>
                <w:szCs w:val="24"/>
              </w:rPr>
              <w:t>项。</w:t>
            </w:r>
            <w:r>
              <w:rPr>
                <w:rFonts w:hint="eastAsia" w:eastAsiaTheme="minorEastAsia"/>
                <w:bCs/>
                <w:sz w:val="24"/>
                <w:szCs w:val="24"/>
              </w:rPr>
              <w:t>作为主编、副主编、参编公开出版教材及学习指导书9部，其中国家规划教材4部。</w:t>
            </w:r>
            <w:r>
              <w:rPr>
                <w:rFonts w:eastAsiaTheme="minorEastAsia"/>
                <w:bCs/>
                <w:sz w:val="24"/>
                <w:szCs w:val="24"/>
              </w:rPr>
              <w:t>获广西科技进步二等奖1项（</w:t>
            </w:r>
            <w:r>
              <w:rPr>
                <w:rFonts w:hint="eastAsia" w:eastAsiaTheme="minorEastAsia"/>
                <w:bCs/>
                <w:sz w:val="24"/>
                <w:szCs w:val="24"/>
              </w:rPr>
              <w:t>排名1）</w:t>
            </w:r>
            <w:r>
              <w:rPr>
                <w:rFonts w:eastAsiaTheme="minorEastAsia"/>
                <w:bCs/>
                <w:sz w:val="24"/>
                <w:szCs w:val="24"/>
              </w:rPr>
              <w:t>。</w:t>
            </w:r>
          </w:p>
          <w:p>
            <w:pPr>
              <w:adjustRightInd w:val="0"/>
              <w:snapToGrid w:val="0"/>
              <w:spacing w:before="100" w:line="360" w:lineRule="auto"/>
              <w:ind w:firstLine="482" w:firstLineChars="200"/>
              <w:rPr>
                <w:rFonts w:eastAsiaTheme="minorEastAsia"/>
                <w:sz w:val="24"/>
                <w:szCs w:val="24"/>
              </w:rPr>
            </w:pPr>
            <w:r>
              <w:rPr>
                <w:rFonts w:eastAsiaTheme="minorEastAsia"/>
                <w:b/>
                <w:bCs/>
                <w:sz w:val="24"/>
                <w:szCs w:val="24"/>
              </w:rPr>
              <w:t>赵书林，</w:t>
            </w:r>
            <w:r>
              <w:rPr>
                <w:rFonts w:eastAsiaTheme="minorEastAsia"/>
                <w:sz w:val="24"/>
                <w:szCs w:val="24"/>
              </w:rPr>
              <w:t>男，博士(四川大学)，二级教授。广西“八桂学者”、</w:t>
            </w:r>
            <w:r>
              <w:rPr>
                <w:rFonts w:hint="eastAsia" w:eastAsiaTheme="minorEastAsia"/>
                <w:sz w:val="24"/>
                <w:szCs w:val="24"/>
              </w:rPr>
              <w:t>享受国务院政府特殊津贴专家</w:t>
            </w:r>
            <w:r>
              <w:rPr>
                <w:rFonts w:eastAsiaTheme="minorEastAsia"/>
                <w:sz w:val="24"/>
                <w:szCs w:val="24"/>
              </w:rPr>
              <w:t>，</w:t>
            </w:r>
            <w:r>
              <w:rPr>
                <w:rFonts w:hint="eastAsia" w:eastAsiaTheme="minorEastAsia"/>
                <w:sz w:val="24"/>
                <w:szCs w:val="24"/>
              </w:rPr>
              <w:t>国家自然科学基金委员会化学部专家评审组成员。主要从事新型纳米探针及生物成像、单细胞分析、药物分析研究。主持国家自然科学基金项目9项，省部级科研项目10多项。在</w:t>
            </w:r>
            <w:r>
              <w:rPr>
                <w:rFonts w:hint="eastAsia" w:eastAsiaTheme="minorEastAsia"/>
                <w:i/>
                <w:sz w:val="24"/>
                <w:szCs w:val="24"/>
              </w:rPr>
              <w:t>Anal. Chem., Chem. Comnun., Nanoscale</w:t>
            </w:r>
            <w:r>
              <w:rPr>
                <w:rFonts w:hint="eastAsia" w:eastAsiaTheme="minorEastAsia"/>
                <w:sz w:val="24"/>
                <w:szCs w:val="24"/>
              </w:rPr>
              <w:t>等发表SCI论文280余篇，获授权发明专利7项。参编中英文专著5部。负责制定国家标准2项。获广西科学技术奖一等奖2项（排名1和2），二等奖2项（排名1）。</w:t>
            </w:r>
          </w:p>
          <w:p>
            <w:pPr>
              <w:adjustRightInd w:val="0"/>
              <w:snapToGrid w:val="0"/>
              <w:spacing w:before="100" w:line="360" w:lineRule="auto"/>
              <w:ind w:firstLine="482" w:firstLineChars="200"/>
              <w:rPr>
                <w:rFonts w:eastAsiaTheme="minorEastAsia"/>
                <w:sz w:val="24"/>
                <w:szCs w:val="24"/>
              </w:rPr>
            </w:pPr>
            <w:r>
              <w:rPr>
                <w:rFonts w:eastAsiaTheme="minorEastAsia"/>
                <w:b/>
                <w:sz w:val="24"/>
                <w:szCs w:val="24"/>
              </w:rPr>
              <w:t>李俊</w:t>
            </w:r>
            <w:r>
              <w:rPr>
                <w:rFonts w:eastAsiaTheme="minorEastAsia"/>
                <w:sz w:val="24"/>
                <w:szCs w:val="24"/>
              </w:rPr>
              <w:t>，</w:t>
            </w:r>
            <w:r>
              <w:rPr>
                <w:rFonts w:eastAsiaTheme="minorEastAsia"/>
                <w:bCs/>
                <w:iCs/>
                <w:sz w:val="24"/>
                <w:szCs w:val="24"/>
              </w:rPr>
              <w:t>男，博士</w:t>
            </w:r>
            <w:r>
              <w:rPr>
                <w:rFonts w:hint="eastAsia" w:eastAsiaTheme="minorEastAsia"/>
                <w:bCs/>
                <w:iCs/>
                <w:sz w:val="24"/>
                <w:szCs w:val="24"/>
              </w:rPr>
              <w:t>(中山大学)</w:t>
            </w:r>
            <w:r>
              <w:rPr>
                <w:rFonts w:eastAsiaTheme="minorEastAsia"/>
                <w:bCs/>
                <w:iCs/>
                <w:sz w:val="24"/>
                <w:szCs w:val="24"/>
              </w:rPr>
              <w:t>，教授。</w:t>
            </w:r>
            <w:r>
              <w:rPr>
                <w:rFonts w:hint="eastAsia" w:eastAsiaTheme="minorEastAsia"/>
                <w:bCs/>
                <w:iCs/>
                <w:sz w:val="24"/>
                <w:szCs w:val="24"/>
              </w:rPr>
              <w:t>主要从事天然产物的化学成分及其活性、广西特色优势植物资源的深加工与综合利用研究。主持国家自然科学基金项目2项、广西自然基金项目6项。主持的2个项目成果实现转化；转让的专利“舒血宁注射液脱酸纯化关键技术开发及应用” 实现转化当年销售额超1亿元。在</w:t>
            </w:r>
            <w:r>
              <w:rPr>
                <w:rFonts w:hint="eastAsia" w:eastAsiaTheme="minorEastAsia"/>
                <w:bCs/>
                <w:i/>
                <w:iCs/>
                <w:sz w:val="24"/>
                <w:szCs w:val="24"/>
              </w:rPr>
              <w:t>Chem. Commun., J. Nat. Prod., Phytochemistry, J. Ethnopharmacol.</w:t>
            </w:r>
            <w:r>
              <w:rPr>
                <w:rFonts w:hint="eastAsia" w:eastAsiaTheme="minorEastAsia"/>
                <w:bCs/>
                <w:iCs/>
                <w:sz w:val="24"/>
                <w:szCs w:val="24"/>
              </w:rPr>
              <w:t>等刊物上发表论文90多篇，获得国家发明专利8项，获省级科学技术一等奖1项（排名6）、三等奖3项（排名1）。</w:t>
            </w:r>
          </w:p>
          <w:p>
            <w:pPr>
              <w:adjustRightInd w:val="0"/>
              <w:snapToGrid w:val="0"/>
              <w:spacing w:before="100" w:line="360" w:lineRule="auto"/>
              <w:ind w:firstLine="482" w:firstLineChars="200"/>
              <w:rPr>
                <w:rFonts w:eastAsiaTheme="minorEastAsia"/>
                <w:sz w:val="24"/>
                <w:szCs w:val="24"/>
              </w:rPr>
            </w:pPr>
            <w:r>
              <w:rPr>
                <w:rFonts w:eastAsiaTheme="minorEastAsia"/>
                <w:b/>
                <w:bCs/>
                <w:iCs/>
                <w:sz w:val="24"/>
                <w:szCs w:val="24"/>
              </w:rPr>
              <w:t>曾明华</w:t>
            </w:r>
            <w:r>
              <w:rPr>
                <w:rFonts w:eastAsiaTheme="minorEastAsia"/>
                <w:bCs/>
                <w:iCs/>
                <w:sz w:val="24"/>
                <w:szCs w:val="24"/>
              </w:rPr>
              <w:t>，男，博士</w:t>
            </w:r>
            <w:r>
              <w:rPr>
                <w:rFonts w:hint="eastAsia" w:eastAsiaTheme="minorEastAsia"/>
                <w:bCs/>
                <w:iCs/>
                <w:sz w:val="24"/>
                <w:szCs w:val="24"/>
              </w:rPr>
              <w:t>(中山大学)</w:t>
            </w:r>
            <w:r>
              <w:rPr>
                <w:rFonts w:eastAsiaTheme="minorEastAsia"/>
                <w:bCs/>
                <w:iCs/>
                <w:sz w:val="24"/>
                <w:szCs w:val="24"/>
              </w:rPr>
              <w:t>，</w:t>
            </w:r>
            <w:r>
              <w:rPr>
                <w:rFonts w:eastAsiaTheme="minorEastAsia"/>
                <w:bCs/>
                <w:sz w:val="24"/>
                <w:szCs w:val="24"/>
              </w:rPr>
              <w:t>二级</w:t>
            </w:r>
            <w:r>
              <w:rPr>
                <w:rFonts w:eastAsiaTheme="minorEastAsia"/>
                <w:bCs/>
                <w:iCs/>
                <w:sz w:val="24"/>
                <w:szCs w:val="24"/>
              </w:rPr>
              <w:t>教授。国家自然科学基金杰出青年基金项目获得者、</w:t>
            </w:r>
            <w:r>
              <w:rPr>
                <w:rFonts w:eastAsiaTheme="minorEastAsia"/>
                <w:sz w:val="24"/>
                <w:szCs w:val="24"/>
              </w:rPr>
              <w:t>国家"百千万人才工程"人选</w:t>
            </w:r>
            <w:r>
              <w:rPr>
                <w:rFonts w:hint="eastAsia" w:eastAsiaTheme="minorEastAsia"/>
                <w:bCs/>
                <w:iCs/>
                <w:sz w:val="24"/>
                <w:szCs w:val="24"/>
              </w:rPr>
              <w:t>、</w:t>
            </w:r>
            <w:r>
              <w:rPr>
                <w:rFonts w:eastAsiaTheme="minorEastAsia"/>
                <w:bCs/>
                <w:iCs/>
                <w:sz w:val="24"/>
                <w:szCs w:val="24"/>
              </w:rPr>
              <w:t>广西</w:t>
            </w:r>
            <w:r>
              <w:rPr>
                <w:rFonts w:hint="eastAsia" w:eastAsiaTheme="minorEastAsia"/>
                <w:bCs/>
                <w:iCs/>
                <w:sz w:val="24"/>
                <w:szCs w:val="24"/>
              </w:rPr>
              <w:t>院士后备培养工程人选，广西</w:t>
            </w:r>
            <w:r>
              <w:rPr>
                <w:rFonts w:eastAsiaTheme="minorEastAsia"/>
                <w:bCs/>
                <w:iCs/>
                <w:sz w:val="24"/>
                <w:szCs w:val="24"/>
              </w:rPr>
              <w:t>"八桂学者"。</w:t>
            </w:r>
            <w:r>
              <w:rPr>
                <w:rFonts w:hint="eastAsia" w:eastAsiaTheme="minorEastAsia"/>
                <w:bCs/>
                <w:iCs/>
                <w:sz w:val="24"/>
                <w:szCs w:val="24"/>
              </w:rPr>
              <w:t>主要从事溶液配位化学研究，先后主持国家杰青项目等国家级项目6项。在</w:t>
            </w:r>
            <w:r>
              <w:rPr>
                <w:rFonts w:hint="eastAsia" w:eastAsiaTheme="minorEastAsia"/>
                <w:bCs/>
                <w:i/>
                <w:sz w:val="24"/>
                <w:szCs w:val="24"/>
              </w:rPr>
              <w:t>J. Am. Chem. Soc.</w:t>
            </w:r>
            <w:r>
              <w:rPr>
                <w:rFonts w:hint="eastAsia" w:eastAsiaTheme="minorEastAsia"/>
                <w:bCs/>
                <w:sz w:val="24"/>
                <w:szCs w:val="24"/>
              </w:rPr>
              <w:t xml:space="preserve"> （4篇），</w:t>
            </w:r>
            <w:r>
              <w:rPr>
                <w:rFonts w:hint="eastAsia" w:eastAsiaTheme="minorEastAsia"/>
                <w:bCs/>
                <w:i/>
                <w:sz w:val="24"/>
                <w:szCs w:val="24"/>
              </w:rPr>
              <w:t>Angew. Che</w:t>
            </w:r>
            <w:r>
              <w:rPr>
                <w:rFonts w:hint="eastAsia" w:eastAsiaTheme="minorEastAsia"/>
                <w:bCs/>
                <w:sz w:val="24"/>
                <w:szCs w:val="24"/>
              </w:rPr>
              <w:t>m.Int. Ed.（5篇），</w:t>
            </w:r>
            <w:r>
              <w:rPr>
                <w:rFonts w:hint="eastAsia" w:eastAsiaTheme="minorEastAsia"/>
                <w:bCs/>
                <w:i/>
                <w:sz w:val="24"/>
                <w:szCs w:val="24"/>
              </w:rPr>
              <w:t>Chem. Sci. （</w:t>
            </w:r>
            <w:r>
              <w:rPr>
                <w:rFonts w:hint="eastAsia" w:eastAsiaTheme="minorEastAsia"/>
                <w:bCs/>
                <w:sz w:val="24"/>
                <w:szCs w:val="24"/>
              </w:rPr>
              <w:t>2篇）发表SCI论文100余篇，受邀在</w:t>
            </w:r>
            <w:r>
              <w:rPr>
                <w:rFonts w:hint="eastAsia" w:eastAsiaTheme="minorEastAsia"/>
                <w:bCs/>
                <w:i/>
                <w:sz w:val="24"/>
                <w:szCs w:val="24"/>
              </w:rPr>
              <w:t>Coord. Chem. Rev.</w:t>
            </w:r>
            <w:r>
              <w:rPr>
                <w:rFonts w:hint="eastAsia" w:eastAsiaTheme="minorEastAsia"/>
                <w:bCs/>
                <w:sz w:val="24"/>
                <w:szCs w:val="24"/>
              </w:rPr>
              <w:t>等发表综述6篇。SCI他引超过4800次，H指数38，10篇论文入选ESI高被引论文。获广西自然科学一等奖2项（均排名1）。</w:t>
            </w:r>
          </w:p>
          <w:p>
            <w:pPr>
              <w:adjustRightInd w:val="0"/>
              <w:snapToGrid w:val="0"/>
              <w:spacing w:before="100" w:line="360" w:lineRule="auto"/>
              <w:ind w:firstLine="482" w:firstLineChars="200"/>
              <w:rPr>
                <w:rFonts w:eastAsiaTheme="minorEastAsia"/>
                <w:bCs/>
                <w:sz w:val="24"/>
                <w:szCs w:val="24"/>
              </w:rPr>
            </w:pPr>
            <w:r>
              <w:rPr>
                <w:rFonts w:eastAsiaTheme="minorEastAsia"/>
                <w:b/>
                <w:bCs/>
                <w:sz w:val="24"/>
                <w:szCs w:val="24"/>
              </w:rPr>
              <w:t>杨峰，</w:t>
            </w:r>
            <w:r>
              <w:rPr>
                <w:rFonts w:eastAsiaTheme="minorEastAsia"/>
                <w:bCs/>
                <w:sz w:val="24"/>
                <w:szCs w:val="24"/>
              </w:rPr>
              <w:t>男，博士</w:t>
            </w:r>
            <w:r>
              <w:rPr>
                <w:rFonts w:hint="eastAsia" w:eastAsiaTheme="minorEastAsia"/>
                <w:bCs/>
                <w:sz w:val="24"/>
                <w:szCs w:val="24"/>
              </w:rPr>
              <w:t>(</w:t>
            </w:r>
            <w:r>
              <w:rPr>
                <w:rFonts w:eastAsiaTheme="minorEastAsia"/>
                <w:bCs/>
                <w:sz w:val="24"/>
                <w:szCs w:val="24"/>
              </w:rPr>
              <w:t>中科院福建物质结构研究所</w:t>
            </w:r>
            <w:r>
              <w:rPr>
                <w:rFonts w:hint="eastAsia" w:eastAsiaTheme="minorEastAsia"/>
                <w:bCs/>
                <w:sz w:val="24"/>
                <w:szCs w:val="24"/>
              </w:rPr>
              <w:t>)</w:t>
            </w:r>
            <w:r>
              <w:rPr>
                <w:rFonts w:eastAsiaTheme="minorEastAsia"/>
                <w:bCs/>
                <w:sz w:val="24"/>
                <w:szCs w:val="24"/>
              </w:rPr>
              <w:t>，</w:t>
            </w:r>
            <w:r>
              <w:rPr>
                <w:rFonts w:hint="eastAsia" w:eastAsiaTheme="minorEastAsia"/>
                <w:bCs/>
                <w:sz w:val="24"/>
                <w:szCs w:val="24"/>
              </w:rPr>
              <w:t>三</w:t>
            </w:r>
            <w:r>
              <w:rPr>
                <w:rFonts w:eastAsiaTheme="minorEastAsia"/>
                <w:bCs/>
                <w:sz w:val="24"/>
                <w:szCs w:val="24"/>
              </w:rPr>
              <w:t>级</w:t>
            </w:r>
            <w:r>
              <w:rPr>
                <w:rFonts w:eastAsiaTheme="minorEastAsia"/>
                <w:bCs/>
                <w:iCs/>
                <w:sz w:val="24"/>
                <w:szCs w:val="24"/>
              </w:rPr>
              <w:t>教授</w:t>
            </w:r>
            <w:r>
              <w:rPr>
                <w:rFonts w:eastAsiaTheme="minorEastAsia"/>
                <w:bCs/>
                <w:sz w:val="24"/>
                <w:szCs w:val="24"/>
              </w:rPr>
              <w:t>。广西</w:t>
            </w:r>
            <w:r>
              <w:rPr>
                <w:rFonts w:hint="eastAsia" w:eastAsiaTheme="minorEastAsia"/>
                <w:bCs/>
                <w:sz w:val="24"/>
                <w:szCs w:val="24"/>
              </w:rPr>
              <w:t>“十百千人才工程人选、广西自然科学基金杰出青年获得者。</w:t>
            </w:r>
            <w:r>
              <w:rPr>
                <w:rFonts w:eastAsiaTheme="minorEastAsia"/>
                <w:bCs/>
                <w:sz w:val="24"/>
                <w:szCs w:val="24"/>
              </w:rPr>
              <w:t>主要从事</w:t>
            </w:r>
            <w:r>
              <w:rPr>
                <w:rFonts w:hint="eastAsia" w:eastAsiaTheme="minorEastAsia"/>
                <w:bCs/>
                <w:sz w:val="24"/>
                <w:szCs w:val="24"/>
              </w:rPr>
              <w:t>功能蛋白质导向的抗肿瘤金属药物研究。先后主持国家自然科学基金3项，省级项目重大重点项目4项。近5年在</w:t>
            </w:r>
            <w:r>
              <w:rPr>
                <w:rFonts w:hint="eastAsia" w:eastAsiaTheme="minorEastAsia"/>
                <w:bCs/>
                <w:i/>
                <w:sz w:val="24"/>
                <w:szCs w:val="24"/>
              </w:rPr>
              <w:t>Nat. Commun., Mol. Pharm.</w:t>
            </w:r>
            <w:r>
              <w:rPr>
                <w:rFonts w:hint="eastAsia" w:eastAsiaTheme="minorEastAsia"/>
                <w:bCs/>
                <w:sz w:val="24"/>
                <w:szCs w:val="24"/>
              </w:rPr>
              <w:t xml:space="preserve">, </w:t>
            </w:r>
            <w:r>
              <w:rPr>
                <w:rFonts w:hint="eastAsia" w:eastAsiaTheme="minorEastAsia"/>
                <w:bCs/>
                <w:i/>
                <w:sz w:val="24"/>
                <w:szCs w:val="24"/>
              </w:rPr>
              <w:t>J. Med. Chem.</w:t>
            </w:r>
            <w:r>
              <w:rPr>
                <w:rFonts w:hint="eastAsia" w:eastAsiaTheme="minorEastAsia"/>
                <w:bCs/>
                <w:sz w:val="24"/>
                <w:szCs w:val="24"/>
              </w:rPr>
              <w:t>等国际药学权威期刊30余篇；受邀在国际权威医学刊物撰写综述和专题评论(Editorial Article)；</w:t>
            </w:r>
            <w:r>
              <w:rPr>
                <w:rFonts w:hint="eastAsia" w:eastAsiaTheme="minorEastAsia"/>
                <w:bCs/>
                <w:i/>
                <w:sz w:val="24"/>
                <w:szCs w:val="24"/>
              </w:rPr>
              <w:t>Curr. Pharm Design</w:t>
            </w:r>
            <w:r>
              <w:rPr>
                <w:rFonts w:hint="eastAsia" w:eastAsiaTheme="minorEastAsia"/>
                <w:bCs/>
                <w:sz w:val="24"/>
                <w:szCs w:val="24"/>
              </w:rPr>
              <w:t>客座编辑和</w:t>
            </w:r>
            <w:r>
              <w:rPr>
                <w:rFonts w:hint="eastAsia" w:eastAsiaTheme="minorEastAsia"/>
                <w:bCs/>
                <w:i/>
                <w:sz w:val="24"/>
                <w:szCs w:val="24"/>
              </w:rPr>
              <w:t>Clinical Cancer Drugs</w:t>
            </w:r>
            <w:r>
              <w:rPr>
                <w:rFonts w:hint="eastAsia" w:eastAsiaTheme="minorEastAsia"/>
                <w:bCs/>
                <w:sz w:val="24"/>
                <w:szCs w:val="24"/>
              </w:rPr>
              <w:t>编委；授权国家发明专利7项。</w:t>
            </w:r>
            <w:r>
              <w:rPr>
                <w:rFonts w:eastAsiaTheme="minorEastAsia"/>
                <w:sz w:val="24"/>
                <w:szCs w:val="24"/>
              </w:rPr>
              <w:t>获广西科</w:t>
            </w:r>
            <w:r>
              <w:rPr>
                <w:rFonts w:hint="eastAsia" w:eastAsiaTheme="minorEastAsia"/>
                <w:sz w:val="24"/>
                <w:szCs w:val="24"/>
              </w:rPr>
              <w:t>学</w:t>
            </w:r>
            <w:r>
              <w:rPr>
                <w:rFonts w:eastAsiaTheme="minorEastAsia"/>
                <w:sz w:val="24"/>
                <w:szCs w:val="24"/>
              </w:rPr>
              <w:t>技</w:t>
            </w:r>
            <w:r>
              <w:rPr>
                <w:rFonts w:hint="eastAsia" w:eastAsiaTheme="minorEastAsia"/>
                <w:sz w:val="24"/>
                <w:szCs w:val="24"/>
              </w:rPr>
              <w:t>术奖</w:t>
            </w:r>
            <w:r>
              <w:rPr>
                <w:rFonts w:eastAsiaTheme="minorEastAsia"/>
                <w:sz w:val="24"/>
                <w:szCs w:val="24"/>
              </w:rPr>
              <w:t>特别贡献奖1</w:t>
            </w:r>
            <w:r>
              <w:rPr>
                <w:rFonts w:hint="eastAsia" w:eastAsiaTheme="minorEastAsia"/>
                <w:sz w:val="24"/>
                <w:szCs w:val="24"/>
              </w:rPr>
              <w:t>项</w:t>
            </w:r>
            <w:r>
              <w:rPr>
                <w:rFonts w:eastAsiaTheme="minorEastAsia"/>
                <w:sz w:val="24"/>
                <w:szCs w:val="24"/>
              </w:rPr>
              <w:t>（</w:t>
            </w:r>
            <w:r>
              <w:rPr>
                <w:rFonts w:hint="eastAsia" w:eastAsiaTheme="minorEastAsia"/>
                <w:sz w:val="24"/>
                <w:szCs w:val="24"/>
              </w:rPr>
              <w:t>排名3）。</w:t>
            </w:r>
          </w:p>
          <w:p>
            <w:pPr>
              <w:adjustRightInd w:val="0"/>
              <w:snapToGrid w:val="0"/>
              <w:spacing w:before="100" w:line="360" w:lineRule="auto"/>
              <w:ind w:firstLine="482" w:firstLineChars="200"/>
              <w:rPr>
                <w:rFonts w:eastAsia="黑体"/>
                <w:sz w:val="24"/>
                <w:szCs w:val="24"/>
              </w:rPr>
            </w:pPr>
            <w:r>
              <w:rPr>
                <w:rFonts w:hint="eastAsia" w:eastAsiaTheme="minorEastAsia"/>
                <w:b/>
                <w:bCs/>
                <w:sz w:val="24"/>
                <w:szCs w:val="24"/>
              </w:rPr>
              <w:t>梁东</w:t>
            </w:r>
            <w:r>
              <w:rPr>
                <w:rFonts w:hint="eastAsia" w:eastAsiaTheme="minorEastAsia"/>
                <w:bCs/>
                <w:sz w:val="24"/>
                <w:szCs w:val="24"/>
              </w:rPr>
              <w:t>，</w:t>
            </w:r>
            <w:r>
              <w:rPr>
                <w:rFonts w:eastAsiaTheme="minorEastAsia"/>
                <w:sz w:val="24"/>
                <w:szCs w:val="24"/>
              </w:rPr>
              <w:t>男，博士(</w:t>
            </w:r>
            <w:r>
              <w:rPr>
                <w:rFonts w:hint="eastAsia" w:eastAsiaTheme="minorEastAsia"/>
                <w:sz w:val="24"/>
                <w:szCs w:val="24"/>
              </w:rPr>
              <w:t>中国</w:t>
            </w:r>
            <w:r>
              <w:rPr>
                <w:rFonts w:eastAsiaTheme="minorEastAsia"/>
                <w:sz w:val="24"/>
                <w:szCs w:val="24"/>
              </w:rPr>
              <w:t>医学科学院</w:t>
            </w:r>
            <w:r>
              <w:rPr>
                <w:rFonts w:hint="eastAsia" w:asciiTheme="minorEastAsia" w:hAnsiTheme="minorEastAsia" w:eastAsiaTheme="minorEastAsia"/>
                <w:sz w:val="24"/>
                <w:szCs w:val="24"/>
              </w:rPr>
              <w:t>＆</w:t>
            </w:r>
            <w:r>
              <w:rPr>
                <w:rFonts w:eastAsiaTheme="minorEastAsia"/>
                <w:sz w:val="24"/>
                <w:szCs w:val="24"/>
              </w:rPr>
              <w:t>北京协和医学院)，教授。</w:t>
            </w:r>
            <w:r>
              <w:rPr>
                <w:sz w:val="24"/>
                <w:szCs w:val="24"/>
              </w:rPr>
              <w:t>广西</w:t>
            </w:r>
            <w:r>
              <w:rPr>
                <w:rFonts w:hint="eastAsia"/>
                <w:sz w:val="24"/>
                <w:szCs w:val="24"/>
              </w:rPr>
              <w:t>首</w:t>
            </w:r>
            <w:r>
              <w:rPr>
                <w:sz w:val="24"/>
                <w:szCs w:val="24"/>
              </w:rPr>
              <w:t>批</w:t>
            </w:r>
            <w:r>
              <w:rPr>
                <w:rFonts w:asciiTheme="minorEastAsia" w:hAnsiTheme="minorEastAsia"/>
                <w:sz w:val="24"/>
                <w:szCs w:val="24"/>
              </w:rPr>
              <w:t>“八桂青年学者”</w:t>
            </w:r>
            <w:r>
              <w:rPr>
                <w:sz w:val="24"/>
                <w:szCs w:val="24"/>
              </w:rPr>
              <w:t>（天然药物化学），广西自然科学杰出青年基金获得者。主要从事广西特色药用植物资源的</w:t>
            </w:r>
            <w:r>
              <w:rPr>
                <w:rFonts w:hint="eastAsia"/>
                <w:sz w:val="24"/>
                <w:szCs w:val="24"/>
              </w:rPr>
              <w:t>活性天然产物及开发利用研究。</w:t>
            </w:r>
            <w:r>
              <w:rPr>
                <w:sz w:val="24"/>
                <w:szCs w:val="24"/>
              </w:rPr>
              <w:t>先后主持承担了10余项研究课题，包括国家自然科学基金</w:t>
            </w:r>
            <w:r>
              <w:rPr>
                <w:rFonts w:hint="eastAsia"/>
                <w:sz w:val="24"/>
                <w:szCs w:val="24"/>
              </w:rPr>
              <w:t>3</w:t>
            </w:r>
            <w:r>
              <w:rPr>
                <w:sz w:val="24"/>
                <w:szCs w:val="24"/>
              </w:rPr>
              <w:t>项和广西自然科学基金2项。</w:t>
            </w:r>
            <w:r>
              <w:rPr>
                <w:rFonts w:hint="eastAsia"/>
                <w:sz w:val="24"/>
                <w:szCs w:val="24"/>
              </w:rPr>
              <w:t>近5年</w:t>
            </w:r>
            <w:r>
              <w:rPr>
                <w:sz w:val="24"/>
                <w:szCs w:val="24"/>
              </w:rPr>
              <w:t>在</w:t>
            </w:r>
            <w:r>
              <w:rPr>
                <w:i/>
                <w:sz w:val="24"/>
                <w:szCs w:val="24"/>
              </w:rPr>
              <w:t>J. Nat. Prod.</w:t>
            </w:r>
            <w:r>
              <w:rPr>
                <w:sz w:val="24"/>
                <w:szCs w:val="24"/>
              </w:rPr>
              <w:t xml:space="preserve">, </w:t>
            </w:r>
            <w:r>
              <w:rPr>
                <w:i/>
                <w:sz w:val="24"/>
                <w:szCs w:val="24"/>
              </w:rPr>
              <w:t>Phytochemistry</w:t>
            </w:r>
            <w:r>
              <w:rPr>
                <w:sz w:val="24"/>
                <w:szCs w:val="24"/>
              </w:rPr>
              <w:t xml:space="preserve">, </w:t>
            </w:r>
            <w:r>
              <w:rPr>
                <w:i/>
                <w:sz w:val="24"/>
                <w:szCs w:val="24"/>
              </w:rPr>
              <w:t>Phytomedicine</w:t>
            </w:r>
            <w:r>
              <w:rPr>
                <w:sz w:val="24"/>
                <w:szCs w:val="24"/>
              </w:rPr>
              <w:t xml:space="preserve">, </w:t>
            </w:r>
            <w:r>
              <w:rPr>
                <w:i/>
                <w:sz w:val="24"/>
                <w:szCs w:val="24"/>
              </w:rPr>
              <w:t>Tetrahedron</w:t>
            </w:r>
            <w:r>
              <w:rPr>
                <w:sz w:val="24"/>
                <w:szCs w:val="24"/>
              </w:rPr>
              <w:t xml:space="preserve">, </w:t>
            </w:r>
            <w:r>
              <w:rPr>
                <w:i/>
                <w:sz w:val="24"/>
                <w:szCs w:val="24"/>
              </w:rPr>
              <w:t>Tetrahedron Lett.</w:t>
            </w:r>
            <w:r>
              <w:rPr>
                <w:sz w:val="24"/>
                <w:szCs w:val="24"/>
              </w:rPr>
              <w:t>等</w:t>
            </w:r>
            <w:r>
              <w:rPr>
                <w:rFonts w:hint="eastAsia"/>
                <w:sz w:val="24"/>
                <w:szCs w:val="24"/>
              </w:rPr>
              <w:t>国内外学术刊物上发表论文</w:t>
            </w:r>
            <w:r>
              <w:rPr>
                <w:sz w:val="24"/>
                <w:szCs w:val="24"/>
              </w:rPr>
              <w:t>20余篇；获授权发明专利2项。</w:t>
            </w:r>
          </w:p>
        </w:tc>
      </w:tr>
    </w:tbl>
    <w:p>
      <w:pPr>
        <w:adjustRightInd w:val="0"/>
        <w:snapToGrid w:val="0"/>
        <w:spacing w:line="360" w:lineRule="auto"/>
        <w:ind w:firstLine="562" w:firstLineChars="200"/>
        <w:rPr>
          <w:rFonts w:eastAsia="黑体"/>
          <w:b/>
          <w:sz w:val="28"/>
          <w:szCs w:val="24"/>
        </w:rPr>
      </w:pPr>
    </w:p>
    <w:p>
      <w:pPr>
        <w:widowControl/>
        <w:jc w:val="left"/>
        <w:rPr>
          <w:rFonts w:eastAsia="黑体"/>
          <w:b/>
          <w:sz w:val="28"/>
          <w:szCs w:val="24"/>
        </w:rPr>
      </w:pPr>
      <w:r>
        <w:rPr>
          <w:rFonts w:eastAsia="黑体"/>
          <w:b/>
          <w:sz w:val="28"/>
          <w:szCs w:val="24"/>
        </w:rPr>
        <w:br w:type="page"/>
      </w:r>
    </w:p>
    <w:p>
      <w:pPr>
        <w:adjustRightInd w:val="0"/>
        <w:snapToGrid w:val="0"/>
        <w:spacing w:line="360" w:lineRule="auto"/>
        <w:ind w:firstLine="562" w:firstLineChars="200"/>
        <w:rPr>
          <w:rFonts w:eastAsia="黑体"/>
          <w:b/>
          <w:sz w:val="28"/>
          <w:szCs w:val="24"/>
        </w:rPr>
      </w:pPr>
      <w:r>
        <w:rPr>
          <w:rFonts w:eastAsia="黑体"/>
          <w:b/>
          <w:sz w:val="28"/>
          <w:szCs w:val="24"/>
        </w:rPr>
        <w:t>3、流动人员情况</w:t>
      </w:r>
    </w:p>
    <w:tbl>
      <w:tblPr>
        <w:tblStyle w:val="1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02" w:hRule="atLeast"/>
          <w:jc w:val="center"/>
        </w:trPr>
        <w:tc>
          <w:tcPr>
            <w:tcW w:w="8522" w:type="dxa"/>
          </w:tcPr>
          <w:p>
            <w:pPr>
              <w:adjustRightInd w:val="0"/>
              <w:snapToGrid w:val="0"/>
              <w:ind w:firstLine="480" w:firstLineChars="200"/>
              <w:rPr>
                <w:rFonts w:eastAsia="楷体_GB2312"/>
                <w:sz w:val="24"/>
                <w:szCs w:val="24"/>
              </w:rPr>
            </w:pPr>
            <w:r>
              <w:rPr>
                <w:rFonts w:eastAsia="楷体_GB2312"/>
                <w:sz w:val="24"/>
                <w:szCs w:val="24"/>
              </w:rPr>
              <w:t>简要列举评估期内实验室流动人员概况，包括人数、引进流动人员的政策、流动人员对实验室做出的代表性贡献（限五个以内典型案例）等。（600字以内）</w:t>
            </w:r>
          </w:p>
          <w:p>
            <w:pPr>
              <w:adjustRightInd w:val="0"/>
              <w:snapToGrid w:val="0"/>
              <w:spacing w:before="156" w:beforeLines="50" w:line="360" w:lineRule="auto"/>
              <w:ind w:firstLine="480" w:firstLineChars="200"/>
              <w:rPr>
                <w:rFonts w:eastAsiaTheme="minorEastAsia"/>
                <w:bCs/>
                <w:sz w:val="24"/>
                <w:szCs w:val="24"/>
              </w:rPr>
            </w:pPr>
            <w:r>
              <w:rPr>
                <w:rFonts w:hint="eastAsia" w:eastAsiaTheme="minorEastAsia"/>
                <w:bCs/>
                <w:sz w:val="24"/>
                <w:szCs w:val="24"/>
              </w:rPr>
              <w:t>实验室依托化学博士后科研流动站，吸纳国内外优秀学者前来实验室从事研究工作，形成由博士后、访问学者、柔性引进人员组成的高水平流动人员队伍。2014-2018年共有流动研究人员19名，其中博士后10名，访问学者3名，柔性引进专家6名，为实验室的发展做出了积极贡献，其中的典型案例如下：</w:t>
            </w:r>
          </w:p>
          <w:p>
            <w:pPr>
              <w:adjustRightInd w:val="0"/>
              <w:snapToGrid w:val="0"/>
              <w:spacing w:before="156" w:beforeLines="50" w:line="360" w:lineRule="auto"/>
              <w:ind w:firstLine="480" w:firstLineChars="200"/>
              <w:rPr>
                <w:rFonts w:eastAsiaTheme="minorEastAsia"/>
                <w:bCs/>
                <w:sz w:val="24"/>
                <w:szCs w:val="24"/>
              </w:rPr>
            </w:pPr>
            <w:r>
              <w:rPr>
                <w:rFonts w:hint="eastAsia" w:eastAsiaTheme="minorEastAsia"/>
                <w:bCs/>
                <w:sz w:val="24"/>
                <w:szCs w:val="24"/>
              </w:rPr>
              <w:t>1. 孙宏斌（2016-至今）：广西“八桂学者”；为实验室建成了计算机辅助药物设计平台，联合承办2019年国家自然科学基金委医学部药物学发展战略青年学者论坛。其八桂学者团队主要开展药物化学研究，在</w:t>
            </w:r>
            <w:r>
              <w:rPr>
                <w:rFonts w:hint="eastAsia" w:eastAsiaTheme="minorEastAsia"/>
                <w:bCs/>
                <w:i/>
                <w:sz w:val="24"/>
                <w:szCs w:val="24"/>
              </w:rPr>
              <w:t>Green. Chem., J. Med. Chem., Eur. J. Med. Chem., Drug Delivery,Mol. Pharm.</w:t>
            </w:r>
            <w:r>
              <w:rPr>
                <w:rFonts w:hint="eastAsia" w:eastAsiaTheme="minorEastAsia"/>
                <w:bCs/>
                <w:sz w:val="24"/>
                <w:szCs w:val="24"/>
              </w:rPr>
              <w:t>等发表SCI论文9篇，获授权发明专利37项。</w:t>
            </w:r>
          </w:p>
          <w:p>
            <w:pPr>
              <w:adjustRightInd w:val="0"/>
              <w:snapToGrid w:val="0"/>
              <w:spacing w:before="156" w:beforeLines="50" w:line="360" w:lineRule="auto"/>
              <w:ind w:firstLine="480" w:firstLineChars="200"/>
              <w:rPr>
                <w:rFonts w:eastAsiaTheme="minorEastAsia"/>
                <w:bCs/>
                <w:sz w:val="24"/>
                <w:szCs w:val="24"/>
              </w:rPr>
            </w:pPr>
            <w:r>
              <w:rPr>
                <w:rFonts w:hint="eastAsia" w:eastAsiaTheme="minorEastAsia"/>
                <w:bCs/>
                <w:sz w:val="24"/>
                <w:szCs w:val="24"/>
              </w:rPr>
              <w:t>2. 于烨（2016-至今）：广西“特聘专家”；为实验室建成了膜片钳测试系统和离子通道类药物虚拟筛选平台；其特聘专家团队开展药物化学研究，在</w:t>
            </w:r>
            <w:r>
              <w:rPr>
                <w:rFonts w:hint="eastAsia" w:eastAsiaTheme="minorEastAsia"/>
                <w:bCs/>
                <w:i/>
                <w:sz w:val="24"/>
                <w:szCs w:val="24"/>
              </w:rPr>
              <w:t>J. Org. Chem., Eur. J. Med. Chem.,</w:t>
            </w:r>
            <w:r>
              <w:rPr>
                <w:rFonts w:hint="eastAsia" w:eastAsiaTheme="minorEastAsia"/>
                <w:bCs/>
                <w:sz w:val="24"/>
                <w:szCs w:val="24"/>
              </w:rPr>
              <w:t>等发表SCI论文7篇，获授权发明专利2项.</w:t>
            </w:r>
          </w:p>
          <w:p>
            <w:pPr>
              <w:adjustRightInd w:val="0"/>
              <w:snapToGrid w:val="0"/>
              <w:spacing w:before="156" w:beforeLines="50" w:line="360" w:lineRule="auto"/>
              <w:ind w:firstLine="480" w:firstLineChars="200"/>
              <w:rPr>
                <w:rFonts w:eastAsiaTheme="minorEastAsia"/>
                <w:bCs/>
                <w:sz w:val="24"/>
                <w:szCs w:val="24"/>
              </w:rPr>
            </w:pPr>
            <w:r>
              <w:rPr>
                <w:rFonts w:hint="eastAsia" w:eastAsiaTheme="minorEastAsia"/>
                <w:bCs/>
                <w:sz w:val="24"/>
                <w:szCs w:val="24"/>
              </w:rPr>
              <w:t>3. 药物开发顾问李嘉丽（2016-至今）：广西师范大学柔性引进高层次人才，专门为实验室研究人员项目申报、药物临床（前）研究实施方案、药物筛选/动物实验等方案等的设计提供咨询和技术支撑。</w:t>
            </w:r>
          </w:p>
          <w:p>
            <w:pPr>
              <w:adjustRightInd w:val="0"/>
              <w:snapToGrid w:val="0"/>
              <w:spacing w:before="156" w:beforeLines="50" w:line="360" w:lineRule="auto"/>
              <w:ind w:firstLine="480" w:firstLineChars="200"/>
              <w:rPr>
                <w:rFonts w:eastAsiaTheme="minorEastAsia"/>
                <w:bCs/>
                <w:sz w:val="24"/>
                <w:szCs w:val="24"/>
              </w:rPr>
            </w:pPr>
            <w:r>
              <w:rPr>
                <w:rFonts w:hint="eastAsia" w:eastAsiaTheme="minorEastAsia"/>
                <w:bCs/>
                <w:sz w:val="24"/>
                <w:szCs w:val="24"/>
              </w:rPr>
              <w:t>4. 博士后张业（2013-2018）：主持国家自然科学基金项目1项和广西自然科学基金项目2项，在</w:t>
            </w:r>
            <w:r>
              <w:rPr>
                <w:rFonts w:hint="eastAsia" w:eastAsiaTheme="minorEastAsia"/>
                <w:b/>
                <w:bCs/>
                <w:i/>
                <w:sz w:val="24"/>
                <w:szCs w:val="24"/>
              </w:rPr>
              <w:t>Eur. J. Med. Chem.</w:t>
            </w:r>
            <w:r>
              <w:rPr>
                <w:rFonts w:hint="eastAsia" w:eastAsiaTheme="minorEastAsia"/>
                <w:bCs/>
                <w:sz w:val="24"/>
                <w:szCs w:val="24"/>
              </w:rPr>
              <w:t>等发表SCI论文10篇，获广西科学技术奖二等奖2项（分别排名5和6）；广西十百千人才工程第二层次人选、广西高校卓越学者，获广西青年科技奖。</w:t>
            </w:r>
          </w:p>
          <w:p>
            <w:pPr>
              <w:adjustRightInd w:val="0"/>
              <w:snapToGrid w:val="0"/>
              <w:spacing w:before="156" w:beforeLines="50" w:line="360" w:lineRule="auto"/>
              <w:ind w:firstLine="480" w:firstLineChars="200"/>
              <w:rPr>
                <w:rFonts w:eastAsia="黑体"/>
                <w:b/>
                <w:sz w:val="28"/>
                <w:szCs w:val="24"/>
              </w:rPr>
            </w:pPr>
            <w:r>
              <w:rPr>
                <w:rFonts w:hint="eastAsia" w:eastAsiaTheme="minorEastAsia"/>
                <w:bCs/>
                <w:sz w:val="24"/>
                <w:szCs w:val="24"/>
              </w:rPr>
              <w:t>5. 博士后段艳（2017-至今）：主持广西自然科学基金项目1项，在</w:t>
            </w:r>
            <w:r>
              <w:rPr>
                <w:rFonts w:hint="eastAsia" w:eastAsiaTheme="minorEastAsia"/>
                <w:bCs/>
                <w:i/>
                <w:sz w:val="24"/>
                <w:szCs w:val="24"/>
              </w:rPr>
              <w:t>Chem. Commun.</w:t>
            </w:r>
            <w:r>
              <w:rPr>
                <w:rFonts w:hint="eastAsia" w:eastAsiaTheme="minorEastAsia"/>
                <w:bCs/>
                <w:sz w:val="24"/>
                <w:szCs w:val="24"/>
              </w:rPr>
              <w:t>发表SCI论文1篇，被国际权威学术新闻媒体ChemistryViews作为亮点推介。</w:t>
            </w:r>
          </w:p>
        </w:tc>
      </w:tr>
    </w:tbl>
    <w:p>
      <w:pPr>
        <w:adjustRightInd w:val="0"/>
        <w:snapToGrid w:val="0"/>
        <w:ind w:firstLine="560" w:firstLineChars="200"/>
        <w:rPr>
          <w:rFonts w:eastAsia="楷体_GB2312"/>
          <w:sz w:val="28"/>
          <w:szCs w:val="24"/>
        </w:rPr>
      </w:pPr>
      <w:r>
        <w:rPr>
          <w:rFonts w:eastAsia="楷体_GB2312"/>
          <w:sz w:val="28"/>
          <w:szCs w:val="24"/>
        </w:rPr>
        <w:br w:type="page"/>
      </w:r>
      <w:r>
        <w:rPr>
          <w:rFonts w:eastAsia="黑体"/>
          <w:b/>
          <w:sz w:val="32"/>
          <w:szCs w:val="24"/>
        </w:rPr>
        <w:t>四、学科发展与人才培养</w:t>
      </w:r>
    </w:p>
    <w:p>
      <w:pPr>
        <w:adjustRightInd w:val="0"/>
        <w:snapToGrid w:val="0"/>
        <w:spacing w:line="360" w:lineRule="auto"/>
        <w:ind w:firstLine="562" w:firstLineChars="200"/>
        <w:rPr>
          <w:rFonts w:eastAsia="黑体"/>
          <w:b/>
          <w:sz w:val="28"/>
          <w:szCs w:val="24"/>
        </w:rPr>
      </w:pPr>
      <w:r>
        <w:rPr>
          <w:rFonts w:eastAsia="黑体"/>
          <w:b/>
          <w:sz w:val="28"/>
          <w:szCs w:val="24"/>
        </w:rPr>
        <w:t>1、学科发展</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0" w:hRule="atLeast"/>
        </w:trPr>
        <w:tc>
          <w:tcPr>
            <w:tcW w:w="8522" w:type="dxa"/>
          </w:tcPr>
          <w:p>
            <w:pPr>
              <w:adjustRightInd w:val="0"/>
              <w:snapToGrid w:val="0"/>
              <w:ind w:firstLine="480" w:firstLineChars="200"/>
              <w:jc w:val="left"/>
              <w:rPr>
                <w:rFonts w:eastAsia="楷体_GB2312"/>
                <w:sz w:val="24"/>
                <w:szCs w:val="24"/>
              </w:rPr>
            </w:pPr>
            <w:r>
              <w:rPr>
                <w:rFonts w:eastAsia="楷体_GB2312"/>
                <w:sz w:val="24"/>
                <w:szCs w:val="24"/>
              </w:rPr>
              <w:t>简述实验室所依托学科的发展情况，从科学研究和人才培养两个方面分别介绍对学校学科建设发挥的支撑作用，以及推动学科交叉与新兴学科建设的情况。（800字以内）</w:t>
            </w:r>
          </w:p>
          <w:p>
            <w:pPr>
              <w:adjustRightInd w:val="0"/>
              <w:snapToGrid w:val="0"/>
              <w:ind w:firstLine="480" w:firstLineChars="200"/>
              <w:jc w:val="left"/>
              <w:rPr>
                <w:rFonts w:eastAsia="楷体_GB2312"/>
                <w:sz w:val="24"/>
                <w:szCs w:val="24"/>
              </w:rPr>
            </w:pPr>
          </w:p>
          <w:p>
            <w:pPr>
              <w:adjustRightInd w:val="0"/>
              <w:snapToGrid w:val="0"/>
              <w:spacing w:line="360" w:lineRule="auto"/>
              <w:ind w:firstLine="480" w:firstLineChars="200"/>
              <w:rPr>
                <w:rFonts w:eastAsiaTheme="minorEastAsia"/>
                <w:bCs/>
                <w:sz w:val="24"/>
              </w:rPr>
            </w:pPr>
            <w:r>
              <w:rPr>
                <w:rFonts w:eastAsiaTheme="minorEastAsia"/>
                <w:bCs/>
                <w:sz w:val="24"/>
              </w:rPr>
              <w:t>药用资源化学与药物分子工程教育部重点实验室主要依托广西优势特色重点学科化学（一级学科）和广西壮族自治区重点学科药物化学。化学学科于2014年12月在广西区内率先跻身ESI全球前1%，并总体稳定保持至今；在全国第四轮学科评估中化学学科获得B-。2018年，化学学科入选广西一流学科建设。与重点实验室密切相关的无机药物化学、天然药物化学、生命过程分析化学、生物材料化学是化学学科重点建设的研究方向。</w:t>
            </w:r>
          </w:p>
          <w:p>
            <w:pPr>
              <w:adjustRightInd w:val="0"/>
              <w:snapToGrid w:val="0"/>
              <w:spacing w:line="360" w:lineRule="auto"/>
              <w:ind w:firstLine="480" w:firstLineChars="200"/>
              <w:rPr>
                <w:rFonts w:eastAsiaTheme="minorEastAsia"/>
                <w:bCs/>
                <w:sz w:val="24"/>
              </w:rPr>
            </w:pPr>
            <w:r>
              <w:rPr>
                <w:rFonts w:eastAsiaTheme="minorEastAsia"/>
                <w:bCs/>
                <w:sz w:val="24"/>
              </w:rPr>
              <w:t>重点实验室为学科发展提供了重要的教学科研平台以及优秀的师资队伍，并在人才培养上做出了重要贡献，为学校学科建设提供了重要支撑，促进学科水平显著提升。一方面，实验室研究聚焦国家和区域重大发展战略需求，通过开展高水平研究，提升了学科队伍的科学研究创新能力。近五年，实验室的学科队伍共承担国家级科研项目82项和省部级科研项目79项，取得了一批具有显示度的高水平研究成果，</w:t>
            </w:r>
            <w:r>
              <w:rPr>
                <w:rFonts w:hint="eastAsia" w:eastAsiaTheme="minorEastAsia"/>
                <w:bCs/>
                <w:sz w:val="24"/>
              </w:rPr>
              <w:t>以第一完成单位</w:t>
            </w:r>
            <w:r>
              <w:rPr>
                <w:rFonts w:eastAsiaTheme="minorEastAsia"/>
                <w:bCs/>
                <w:sz w:val="24"/>
              </w:rPr>
              <w:t>先后获得广西科学技术奖特别贡献奖1项和一等奖3项。另一方面，实验室人员承担了本科生、硕士研究生、博士研究生以及留学生的培养工作，实验室大型仪器及技术支撑组也为本科生及研究生的实验、实践教学提供了重要支持。实验室固定人员中现有博士研究生导师23人，硕士研究生导师38人（含博士研究生导师）。2014-2018年，重点实验室培养毕业了博士研究生16人、硕士研究生311人，留学生2人，较好地完成了人才培养任务。</w:t>
            </w:r>
          </w:p>
          <w:p>
            <w:pPr>
              <w:adjustRightInd w:val="0"/>
              <w:snapToGrid w:val="0"/>
              <w:spacing w:line="360" w:lineRule="auto"/>
              <w:ind w:firstLine="480" w:firstLineChars="200"/>
              <w:rPr>
                <w:rFonts w:eastAsiaTheme="minorEastAsia"/>
                <w:bCs/>
                <w:sz w:val="24"/>
              </w:rPr>
            </w:pPr>
            <w:r>
              <w:rPr>
                <w:rFonts w:eastAsiaTheme="minorEastAsia"/>
                <w:bCs/>
                <w:sz w:val="24"/>
              </w:rPr>
              <w:t>重点实验室充分利用现有学科优势，瞄准国际学科发展前沿，开展了多学科交叉研究，逐步推动了化学、药学、生物、医学、材料学等多学科的交叉融合。根据学科和重点实验室发展需要，依托化学一级学科自主</w:t>
            </w:r>
            <w:r>
              <w:rPr>
                <w:rFonts w:hint="eastAsia" w:eastAsiaTheme="minorEastAsia"/>
                <w:bCs/>
                <w:sz w:val="24"/>
              </w:rPr>
              <w:t>增设</w:t>
            </w:r>
            <w:r>
              <w:rPr>
                <w:rFonts w:eastAsiaTheme="minorEastAsia"/>
                <w:bCs/>
                <w:sz w:val="24"/>
              </w:rPr>
              <w:t>合成与天然药物化学和化学生物学两个二级学科方向，招收和培养博士和硕士研究生。作为重要支撑，重点实验室推动了这两个新兴学科方向的发展，并且通过新兴学科的发展进一步促进多学科交叉，拓宽重点实验室研究领域、研究深度和广度，更好</w:t>
            </w:r>
            <w:r>
              <w:rPr>
                <w:rFonts w:hint="eastAsia" w:eastAsiaTheme="minorEastAsia"/>
                <w:bCs/>
                <w:sz w:val="24"/>
              </w:rPr>
              <w:t>地</w:t>
            </w:r>
            <w:r>
              <w:rPr>
                <w:rFonts w:eastAsiaTheme="minorEastAsia"/>
                <w:bCs/>
                <w:sz w:val="24"/>
              </w:rPr>
              <w:t>服务经济社会发展需要。</w:t>
            </w:r>
          </w:p>
          <w:p>
            <w:pPr>
              <w:adjustRightInd w:val="0"/>
              <w:snapToGrid w:val="0"/>
              <w:spacing w:line="360" w:lineRule="auto"/>
              <w:ind w:firstLine="562" w:firstLineChars="200"/>
              <w:rPr>
                <w:rFonts w:eastAsia="黑体"/>
                <w:b/>
                <w:sz w:val="28"/>
                <w:szCs w:val="24"/>
              </w:rPr>
            </w:pPr>
          </w:p>
        </w:tc>
      </w:tr>
    </w:tbl>
    <w:p>
      <w:pPr>
        <w:widowControl/>
        <w:ind w:firstLine="562" w:firstLineChars="200"/>
        <w:jc w:val="left"/>
        <w:rPr>
          <w:rFonts w:eastAsia="黑体"/>
          <w:b/>
          <w:sz w:val="28"/>
          <w:szCs w:val="24"/>
        </w:rPr>
      </w:pPr>
      <w:r>
        <w:rPr>
          <w:rFonts w:eastAsia="黑体"/>
          <w:b/>
          <w:sz w:val="28"/>
          <w:szCs w:val="24"/>
        </w:rPr>
        <w:t>2、科教融合推动教学发展</w:t>
      </w:r>
    </w:p>
    <w:tbl>
      <w:tblPr>
        <w:tblStyle w:val="1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3" w:hRule="atLeast"/>
          <w:jc w:val="center"/>
        </w:trPr>
        <w:tc>
          <w:tcPr>
            <w:tcW w:w="8522" w:type="dxa"/>
          </w:tcPr>
          <w:p>
            <w:pPr>
              <w:adjustRightInd w:val="0"/>
              <w:snapToGrid w:val="0"/>
              <w:ind w:firstLine="480" w:firstLineChars="200"/>
              <w:jc w:val="left"/>
              <w:rPr>
                <w:rFonts w:eastAsia="楷体_GB2312"/>
                <w:sz w:val="24"/>
                <w:szCs w:val="24"/>
              </w:rPr>
            </w:pPr>
            <w:r>
              <w:rPr>
                <w:rFonts w:eastAsia="楷体_GB2312"/>
                <w:sz w:val="24"/>
                <w:szCs w:val="24"/>
              </w:rPr>
              <w:t>简要介绍实验室人员承担依托单位教学任务情况，主要包括开设主讲课程、编写教材、教改项目、教学成果等，以及将本领域前沿研究情况、实验室科研成果转化为教学资源的情况。（500字以内）</w:t>
            </w:r>
          </w:p>
          <w:p>
            <w:pPr>
              <w:adjustRightInd w:val="0"/>
              <w:snapToGrid w:val="0"/>
              <w:spacing w:before="156" w:beforeLines="50" w:line="360" w:lineRule="auto"/>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本实验室人员同时是化学与药学学院专任教师，均为教学、科研双肩挑双重身份，其中广西教学名师1人、“八桂”名师1人、广西师范大学教学名师1人、教学能手1人、教学新秀3人；承担学院《药物化学》、《天然药物化学》、《药理学》、《有机化学》、《现代仪器分析实验》、《药物分析实验》等42门课程，固定研究人员人均年授课约102学时；实验室同时也是学院学生进行大学生创新创业项目、毕业论文（设计）的重要基地，对本科生、研究生等不同层次的人才培养起到至关重要作用。实验室人员积极进行教学改革和教学条件保障建设，主编或参编写教材10部，其中《有机化学》入选国家“十二五”规划教材，《无机化学实验（第二版）》等7部入选区级优秀教材；承担教学改革项目28项，其中广西高等教育创优秀计划项目1项目、广西高等教育教学改革工程项目13项（重点5项，一般A类5项），广西师范大学教学改革项目15项；获得自治区教学成果一等奖1项，二等奖1项；发表教学论文31篇。在接触学术前沿和获得科研成果的过程中，注重把学术成果转化为教学资源，如把脱氢松香酸拆分苯氨醇、超临界CO2萃取火麻油等与本实验室教师科研内容密切联系的实验项目编入有机化学和应用化学实验教材中，为人才培养服务。</w:t>
            </w:r>
          </w:p>
          <w:p>
            <w:pPr>
              <w:adjustRightInd w:val="0"/>
              <w:snapToGrid w:val="0"/>
              <w:spacing w:before="156" w:beforeLines="50" w:line="360" w:lineRule="auto"/>
              <w:ind w:firstLine="480" w:firstLineChars="200"/>
              <w:jc w:val="left"/>
              <w:rPr>
                <w:rFonts w:asciiTheme="minorEastAsia" w:hAnsiTheme="minorEastAsia" w:eastAsiaTheme="minorEastAsia"/>
                <w:sz w:val="24"/>
                <w:szCs w:val="24"/>
              </w:rPr>
            </w:pPr>
          </w:p>
        </w:tc>
      </w:tr>
    </w:tbl>
    <w:p>
      <w:pPr>
        <w:adjustRightInd w:val="0"/>
        <w:snapToGrid w:val="0"/>
        <w:spacing w:line="360" w:lineRule="auto"/>
        <w:rPr>
          <w:rFonts w:eastAsia="黑体"/>
          <w:b/>
          <w:sz w:val="28"/>
          <w:szCs w:val="24"/>
        </w:rPr>
      </w:pPr>
    </w:p>
    <w:p>
      <w:pPr>
        <w:widowControl/>
        <w:jc w:val="left"/>
        <w:rPr>
          <w:rFonts w:eastAsia="黑体"/>
          <w:b/>
          <w:sz w:val="28"/>
          <w:szCs w:val="24"/>
        </w:rPr>
      </w:pPr>
      <w:r>
        <w:rPr>
          <w:rFonts w:eastAsia="黑体"/>
          <w:b/>
          <w:sz w:val="28"/>
          <w:szCs w:val="24"/>
        </w:rPr>
        <w:br w:type="page"/>
      </w:r>
    </w:p>
    <w:p>
      <w:pPr>
        <w:adjustRightInd w:val="0"/>
        <w:snapToGrid w:val="0"/>
        <w:spacing w:line="360" w:lineRule="auto"/>
        <w:ind w:firstLine="562" w:firstLineChars="200"/>
        <w:rPr>
          <w:rFonts w:eastAsia="黑体"/>
          <w:b/>
          <w:sz w:val="28"/>
          <w:szCs w:val="24"/>
        </w:rPr>
      </w:pPr>
      <w:r>
        <w:rPr>
          <w:rFonts w:eastAsia="黑体"/>
          <w:b/>
          <w:sz w:val="28"/>
          <w:szCs w:val="24"/>
        </w:rPr>
        <w:t>3、人才培养</w:t>
      </w:r>
    </w:p>
    <w:p>
      <w:pPr>
        <w:adjustRightInd w:val="0"/>
        <w:snapToGrid w:val="0"/>
        <w:spacing w:line="360" w:lineRule="auto"/>
        <w:ind w:firstLine="562" w:firstLineChars="200"/>
        <w:rPr>
          <w:rFonts w:eastAsia="黑体"/>
          <w:b/>
          <w:sz w:val="28"/>
          <w:szCs w:val="24"/>
        </w:rPr>
      </w:pPr>
      <w:r>
        <w:rPr>
          <w:rFonts w:eastAsia="黑体"/>
          <w:b/>
          <w:sz w:val="28"/>
          <w:szCs w:val="24"/>
        </w:rPr>
        <w:t>（1）人才培养总体情况</w:t>
      </w:r>
    </w:p>
    <w:tbl>
      <w:tblPr>
        <w:tblStyle w:val="1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3" w:hRule="atLeast"/>
          <w:jc w:val="center"/>
        </w:trPr>
        <w:tc>
          <w:tcPr>
            <w:tcW w:w="8522" w:type="dxa"/>
          </w:tcPr>
          <w:p>
            <w:pPr>
              <w:adjustRightInd w:val="0"/>
              <w:snapToGrid w:val="0"/>
              <w:ind w:firstLine="480" w:firstLineChars="200"/>
              <w:jc w:val="left"/>
              <w:rPr>
                <w:rFonts w:eastAsia="楷体_GB2312"/>
                <w:sz w:val="24"/>
                <w:szCs w:val="24"/>
              </w:rPr>
            </w:pPr>
            <w:r>
              <w:rPr>
                <w:rFonts w:eastAsia="楷体_GB2312"/>
                <w:sz w:val="24"/>
                <w:szCs w:val="24"/>
              </w:rPr>
              <w:t>简述实验室人才培养的代表性举措和效果，包括跨学科、跨院系的人才交流和培养，与国内、国际科研机构或企业联合培养创新人才等。（800字以内）</w:t>
            </w:r>
          </w:p>
          <w:p>
            <w:pPr>
              <w:adjustRightInd w:val="0"/>
              <w:snapToGrid w:val="0"/>
              <w:spacing w:line="360" w:lineRule="auto"/>
              <w:ind w:firstLine="480" w:firstLineChars="200"/>
              <w:jc w:val="left"/>
              <w:rPr>
                <w:rFonts w:ascii="宋体" w:hAnsi="宋体" w:cs="宋体"/>
                <w:sz w:val="24"/>
                <w:szCs w:val="24"/>
              </w:rPr>
            </w:pPr>
          </w:p>
          <w:p>
            <w:pPr>
              <w:adjustRightInd w:val="0"/>
              <w:snapToGrid w:val="0"/>
              <w:spacing w:line="360" w:lineRule="auto"/>
              <w:ind w:firstLine="480" w:firstLineChars="200"/>
              <w:jc w:val="left"/>
              <w:rPr>
                <w:sz w:val="24"/>
                <w:szCs w:val="24"/>
              </w:rPr>
            </w:pPr>
            <w:r>
              <w:rPr>
                <w:rFonts w:hint="eastAsia"/>
                <w:sz w:val="24"/>
                <w:szCs w:val="24"/>
              </w:rPr>
              <w:t>本</w:t>
            </w:r>
            <w:r>
              <w:rPr>
                <w:sz w:val="24"/>
                <w:szCs w:val="24"/>
              </w:rPr>
              <w:t>实验室依托化学和药物化学学科</w:t>
            </w:r>
            <w:r>
              <w:rPr>
                <w:rFonts w:hint="eastAsia"/>
                <w:sz w:val="24"/>
                <w:szCs w:val="24"/>
              </w:rPr>
              <w:t>，充分</w:t>
            </w:r>
            <w:r>
              <w:rPr>
                <w:sz w:val="24"/>
                <w:szCs w:val="24"/>
              </w:rPr>
              <w:t>利用实验室先进的仪器设备和高水平的研究队伍，将学科、实验室平台和</w:t>
            </w:r>
            <w:r>
              <w:rPr>
                <w:rFonts w:hint="eastAsia"/>
                <w:sz w:val="24"/>
                <w:szCs w:val="24"/>
              </w:rPr>
              <w:t>师资</w:t>
            </w:r>
            <w:r>
              <w:rPr>
                <w:sz w:val="24"/>
                <w:szCs w:val="24"/>
              </w:rPr>
              <w:t>优势转化为高质量人才培养优势，科教融合、协同育人</w:t>
            </w:r>
            <w:r>
              <w:rPr>
                <w:rFonts w:hint="eastAsia"/>
                <w:sz w:val="24"/>
                <w:szCs w:val="24"/>
              </w:rPr>
              <w:t>。</w:t>
            </w:r>
          </w:p>
          <w:p>
            <w:pPr>
              <w:adjustRightInd w:val="0"/>
              <w:snapToGrid w:val="0"/>
              <w:spacing w:line="360" w:lineRule="auto"/>
              <w:ind w:firstLine="480" w:firstLineChars="200"/>
              <w:jc w:val="left"/>
              <w:rPr>
                <w:sz w:val="24"/>
                <w:szCs w:val="24"/>
              </w:rPr>
            </w:pPr>
            <w:r>
              <w:rPr>
                <w:sz w:val="24"/>
                <w:szCs w:val="24"/>
              </w:rPr>
              <w:t>（1）</w:t>
            </w:r>
            <w:r>
              <w:rPr>
                <w:rFonts w:hint="eastAsia"/>
                <w:sz w:val="24"/>
                <w:szCs w:val="24"/>
              </w:rPr>
              <w:t>加强</w:t>
            </w:r>
            <w:r>
              <w:rPr>
                <w:sz w:val="24"/>
                <w:szCs w:val="24"/>
              </w:rPr>
              <w:t>导师队伍建设，</w:t>
            </w:r>
            <w:r>
              <w:rPr>
                <w:rFonts w:hint="eastAsia"/>
                <w:sz w:val="24"/>
                <w:szCs w:val="24"/>
              </w:rPr>
              <w:t>保障人才培养条件</w:t>
            </w:r>
            <w:r>
              <w:rPr>
                <w:sz w:val="24"/>
                <w:szCs w:val="24"/>
              </w:rPr>
              <w:t>。重点实验室依托学校和学院建立了一套完整的研究生导师聘任、考核体制，</w:t>
            </w:r>
            <w:r>
              <w:rPr>
                <w:rFonts w:hint="eastAsia"/>
                <w:sz w:val="24"/>
                <w:szCs w:val="24"/>
              </w:rPr>
              <w:t>并</w:t>
            </w:r>
            <w:r>
              <w:rPr>
                <w:sz w:val="24"/>
                <w:szCs w:val="24"/>
              </w:rPr>
              <w:t>实行</w:t>
            </w:r>
            <w:r>
              <w:rPr>
                <w:rFonts w:hint="eastAsia"/>
                <w:sz w:val="24"/>
                <w:szCs w:val="24"/>
              </w:rPr>
              <w:t>师德</w:t>
            </w:r>
            <w:r>
              <w:rPr>
                <w:sz w:val="24"/>
                <w:szCs w:val="24"/>
              </w:rPr>
              <w:t>问题一票否决制</w:t>
            </w:r>
            <w:r>
              <w:rPr>
                <w:rFonts w:hint="eastAsia"/>
                <w:sz w:val="24"/>
                <w:szCs w:val="24"/>
              </w:rPr>
              <w:t>，</w:t>
            </w:r>
            <w:r>
              <w:rPr>
                <w:sz w:val="24"/>
                <w:szCs w:val="24"/>
              </w:rPr>
              <w:t>较好地保障了导师队伍的整体质量和水平</w:t>
            </w:r>
            <w:r>
              <w:rPr>
                <w:rFonts w:hint="eastAsia"/>
                <w:sz w:val="24"/>
                <w:szCs w:val="24"/>
              </w:rPr>
              <w:t>；</w:t>
            </w:r>
            <w:r>
              <w:rPr>
                <w:sz w:val="24"/>
                <w:szCs w:val="24"/>
              </w:rPr>
              <w:t>实验室依托学科</w:t>
            </w:r>
            <w:r>
              <w:rPr>
                <w:rFonts w:hint="eastAsia"/>
                <w:sz w:val="24"/>
                <w:szCs w:val="24"/>
              </w:rPr>
              <w:t>对</w:t>
            </w:r>
            <w:r>
              <w:rPr>
                <w:sz w:val="24"/>
                <w:szCs w:val="24"/>
              </w:rPr>
              <w:t>已聘导师</w:t>
            </w:r>
            <w:r>
              <w:rPr>
                <w:rFonts w:hint="eastAsia"/>
                <w:sz w:val="24"/>
                <w:szCs w:val="24"/>
              </w:rPr>
              <w:t>从</w:t>
            </w:r>
            <w:r>
              <w:rPr>
                <w:sz w:val="24"/>
                <w:szCs w:val="24"/>
              </w:rPr>
              <w:t>科研成果、科研项目和科研经费等方面</w:t>
            </w:r>
            <w:r>
              <w:rPr>
                <w:rFonts w:hint="eastAsia"/>
                <w:sz w:val="24"/>
                <w:szCs w:val="24"/>
              </w:rPr>
              <w:t>进行招生资格考核</w:t>
            </w:r>
            <w:r>
              <w:rPr>
                <w:sz w:val="24"/>
                <w:szCs w:val="24"/>
              </w:rPr>
              <w:t>，保证了导师在人才培养时所需的科研条件。</w:t>
            </w:r>
          </w:p>
          <w:p>
            <w:pPr>
              <w:adjustRightInd w:val="0"/>
              <w:snapToGrid w:val="0"/>
              <w:spacing w:line="360" w:lineRule="auto"/>
              <w:ind w:firstLine="480" w:firstLineChars="200"/>
              <w:jc w:val="left"/>
              <w:rPr>
                <w:sz w:val="24"/>
                <w:szCs w:val="24"/>
              </w:rPr>
            </w:pPr>
            <w:r>
              <w:rPr>
                <w:sz w:val="24"/>
                <w:szCs w:val="24"/>
              </w:rPr>
              <w:t>（2）</w:t>
            </w:r>
            <w:r>
              <w:rPr>
                <w:rFonts w:hint="eastAsia"/>
                <w:sz w:val="24"/>
                <w:szCs w:val="24"/>
              </w:rPr>
              <w:t>依托科研项目，完善激励制度，提高人才培养质量。充分利用实验室的科研平台，依托导师的科研项目以及创新计划项目，支持开展高水平科学研究，切实提升研究生创新思维能力。同时，依托学科所在单位，不断完善教学管理、科研激励等政策。</w:t>
            </w:r>
            <w:r>
              <w:rPr>
                <w:sz w:val="24"/>
                <w:szCs w:val="24"/>
              </w:rPr>
              <w:t>近五年，实验室培养广西优秀硕士毕业人5人</w:t>
            </w:r>
            <w:r>
              <w:rPr>
                <w:rFonts w:hint="eastAsia"/>
                <w:sz w:val="24"/>
                <w:szCs w:val="24"/>
              </w:rPr>
              <w:t>，</w:t>
            </w:r>
            <w:r>
              <w:rPr>
                <w:sz w:val="24"/>
                <w:szCs w:val="24"/>
              </w:rPr>
              <w:t>校级优秀硕士毕业生47人</w:t>
            </w:r>
            <w:r>
              <w:rPr>
                <w:rFonts w:hint="eastAsia"/>
                <w:sz w:val="24"/>
                <w:szCs w:val="24"/>
              </w:rPr>
              <w:t>；研究生</w:t>
            </w:r>
            <w:r>
              <w:rPr>
                <w:sz w:val="24"/>
                <w:szCs w:val="24"/>
              </w:rPr>
              <w:t>作为主要研究人员</w:t>
            </w:r>
            <w:r>
              <w:rPr>
                <w:rFonts w:hint="eastAsia"/>
                <w:sz w:val="24"/>
                <w:szCs w:val="24"/>
              </w:rPr>
              <w:t>（排名前三）</w:t>
            </w:r>
            <w:r>
              <w:rPr>
                <w:sz w:val="24"/>
                <w:szCs w:val="24"/>
              </w:rPr>
              <w:t>发表SCI学术论文369篇。</w:t>
            </w:r>
          </w:p>
          <w:p>
            <w:pPr>
              <w:adjustRightInd w:val="0"/>
              <w:snapToGrid w:val="0"/>
              <w:spacing w:line="360" w:lineRule="auto"/>
              <w:ind w:firstLine="480" w:firstLineChars="200"/>
              <w:jc w:val="left"/>
              <w:rPr>
                <w:sz w:val="24"/>
                <w:szCs w:val="24"/>
              </w:rPr>
            </w:pPr>
            <w:r>
              <w:rPr>
                <w:sz w:val="24"/>
                <w:szCs w:val="24"/>
              </w:rPr>
              <w:t>（3）</w:t>
            </w:r>
            <w:r>
              <w:rPr>
                <w:rFonts w:hint="eastAsia"/>
                <w:sz w:val="24"/>
                <w:szCs w:val="24"/>
              </w:rPr>
              <w:t>通过实施本科生导师制推动本科生创新人才培养。实验室成员担任本科专业首席教授和独秀创新人才培养导师，吸引</w:t>
            </w:r>
            <w:r>
              <w:rPr>
                <w:rFonts w:hint="eastAsia"/>
                <w:sz w:val="24"/>
              </w:rPr>
              <w:t>优秀</w:t>
            </w:r>
            <w:r>
              <w:rPr>
                <w:sz w:val="24"/>
              </w:rPr>
              <w:t>本科生走进实验室</w:t>
            </w:r>
            <w:r>
              <w:rPr>
                <w:rFonts w:hint="eastAsia"/>
                <w:sz w:val="24"/>
                <w:szCs w:val="24"/>
              </w:rPr>
              <w:t>，为其科研创新提供全方位的支持，指导开展系统的科研训练，</w:t>
            </w:r>
            <w:r>
              <w:rPr>
                <w:rFonts w:hint="eastAsia"/>
                <w:sz w:val="24"/>
              </w:rPr>
              <w:t>着力培养本科学生的研</w:t>
            </w:r>
            <w:r>
              <w:rPr>
                <w:rFonts w:hint="eastAsia"/>
                <w:color w:val="000000"/>
                <w:sz w:val="24"/>
              </w:rPr>
              <w:t>究和创新意识。2</w:t>
            </w:r>
            <w:r>
              <w:rPr>
                <w:color w:val="000000"/>
                <w:sz w:val="24"/>
              </w:rPr>
              <w:t>014-2018</w:t>
            </w:r>
            <w:r>
              <w:rPr>
                <w:rFonts w:hint="eastAsia"/>
                <w:color w:val="000000"/>
                <w:sz w:val="24"/>
              </w:rPr>
              <w:t>年，</w:t>
            </w:r>
            <w:r>
              <w:rPr>
                <w:rFonts w:hint="eastAsia"/>
                <w:sz w:val="24"/>
                <w:szCs w:val="24"/>
              </w:rPr>
              <w:t>先后共有</w:t>
            </w:r>
            <w:r>
              <w:rPr>
                <w:sz w:val="24"/>
                <w:szCs w:val="24"/>
              </w:rPr>
              <w:t>32</w:t>
            </w:r>
            <w:r>
              <w:rPr>
                <w:rFonts w:hint="eastAsia"/>
                <w:sz w:val="24"/>
                <w:szCs w:val="24"/>
              </w:rPr>
              <w:t>人保送至清华大学、北京大学、中国科学院等国内著名科研院所进行研究生阶段的学习；实验室培养的</w:t>
            </w:r>
            <w:r>
              <w:rPr>
                <w:rFonts w:hint="eastAsia"/>
                <w:bCs/>
                <w:sz w:val="24"/>
                <w:szCs w:val="24"/>
              </w:rPr>
              <w:t>本科生作为主要研究人员</w:t>
            </w:r>
            <w:r>
              <w:rPr>
                <w:rFonts w:hint="eastAsia"/>
                <w:sz w:val="24"/>
                <w:szCs w:val="24"/>
              </w:rPr>
              <w:t>（排名前三）</w:t>
            </w:r>
            <w:r>
              <w:rPr>
                <w:rFonts w:hint="eastAsia"/>
                <w:bCs/>
                <w:sz w:val="24"/>
                <w:szCs w:val="24"/>
              </w:rPr>
              <w:t>发表</w:t>
            </w:r>
            <w:r>
              <w:rPr>
                <w:bCs/>
                <w:sz w:val="24"/>
                <w:szCs w:val="24"/>
              </w:rPr>
              <w:t>SCI</w:t>
            </w:r>
            <w:r>
              <w:rPr>
                <w:rFonts w:hint="eastAsia"/>
                <w:bCs/>
                <w:sz w:val="24"/>
                <w:szCs w:val="24"/>
              </w:rPr>
              <w:t>学术论文</w:t>
            </w:r>
            <w:r>
              <w:rPr>
                <w:bCs/>
                <w:sz w:val="24"/>
                <w:szCs w:val="24"/>
              </w:rPr>
              <w:t>73</w:t>
            </w:r>
            <w:r>
              <w:rPr>
                <w:rFonts w:hint="eastAsia"/>
                <w:bCs/>
                <w:sz w:val="24"/>
                <w:szCs w:val="24"/>
              </w:rPr>
              <w:t>篇，获授权国家发明专利</w:t>
            </w:r>
            <w:r>
              <w:rPr>
                <w:bCs/>
                <w:sz w:val="24"/>
                <w:szCs w:val="24"/>
              </w:rPr>
              <w:t>17</w:t>
            </w:r>
            <w:r>
              <w:rPr>
                <w:rFonts w:hint="eastAsia"/>
                <w:bCs/>
                <w:sz w:val="24"/>
                <w:szCs w:val="24"/>
              </w:rPr>
              <w:t>项。</w:t>
            </w:r>
          </w:p>
          <w:p>
            <w:pPr>
              <w:adjustRightInd w:val="0"/>
              <w:snapToGrid w:val="0"/>
              <w:spacing w:line="360" w:lineRule="auto"/>
              <w:ind w:firstLine="480" w:firstLineChars="200"/>
              <w:jc w:val="left"/>
              <w:rPr>
                <w:rFonts w:eastAsia="黑体"/>
                <w:b/>
                <w:sz w:val="28"/>
                <w:szCs w:val="24"/>
              </w:rPr>
            </w:pPr>
            <w:r>
              <w:rPr>
                <w:rFonts w:hint="eastAsia"/>
                <w:sz w:val="24"/>
                <w:szCs w:val="24"/>
              </w:rPr>
              <w:t>（</w:t>
            </w:r>
            <w:r>
              <w:rPr>
                <w:sz w:val="24"/>
                <w:szCs w:val="24"/>
              </w:rPr>
              <w:t>4</w:t>
            </w:r>
            <w:r>
              <w:rPr>
                <w:rFonts w:hint="eastAsia"/>
                <w:sz w:val="24"/>
                <w:szCs w:val="24"/>
              </w:rPr>
              <w:t>）积极探索与科研院所开展联合培养，与行业知名企业单位建立教学科研实践基地。实验室已</w:t>
            </w:r>
            <w:r>
              <w:rPr>
                <w:sz w:val="24"/>
                <w:szCs w:val="24"/>
              </w:rPr>
              <w:t>与中国药科大学、山东大学、中国科学院</w:t>
            </w:r>
            <w:r>
              <w:rPr>
                <w:rFonts w:hint="eastAsia"/>
                <w:sz w:val="24"/>
                <w:szCs w:val="24"/>
              </w:rPr>
              <w:t>上海有机化学研究</w:t>
            </w:r>
            <w:r>
              <w:rPr>
                <w:sz w:val="24"/>
                <w:szCs w:val="24"/>
              </w:rPr>
              <w:t>所等单位联合培养</w:t>
            </w:r>
            <w:r>
              <w:rPr>
                <w:rFonts w:hint="eastAsia"/>
                <w:sz w:val="24"/>
                <w:szCs w:val="24"/>
              </w:rPr>
              <w:t>研究生7人，与本校生命科学学院跨学科联合培养研究生5人。同时，</w:t>
            </w:r>
            <w:r>
              <w:rPr>
                <w:sz w:val="24"/>
                <w:szCs w:val="24"/>
              </w:rPr>
              <w:t>与桂林南药股份有限公司、桂林三金药业股份有限公司、广西壮族自治区疾病预防控制中心、桂林市产品质量检验所等单位建立教学科研实践基地，通过校企校地</w:t>
            </w:r>
            <w:r>
              <w:rPr>
                <w:rFonts w:hint="eastAsia"/>
                <w:sz w:val="24"/>
                <w:szCs w:val="24"/>
              </w:rPr>
              <w:t>产学研</w:t>
            </w:r>
            <w:r>
              <w:rPr>
                <w:sz w:val="24"/>
                <w:szCs w:val="24"/>
              </w:rPr>
              <w:t>合作，</w:t>
            </w:r>
            <w:r>
              <w:rPr>
                <w:rFonts w:hint="eastAsia"/>
                <w:bCs/>
                <w:sz w:val="24"/>
                <w:szCs w:val="24"/>
              </w:rPr>
              <w:t>协同推进高质量人才培养</w:t>
            </w:r>
            <w:r>
              <w:rPr>
                <w:sz w:val="24"/>
                <w:szCs w:val="24"/>
              </w:rPr>
              <w:t>。</w:t>
            </w:r>
          </w:p>
        </w:tc>
      </w:tr>
    </w:tbl>
    <w:p>
      <w:pPr>
        <w:adjustRightInd w:val="0"/>
        <w:snapToGrid w:val="0"/>
        <w:spacing w:line="360" w:lineRule="auto"/>
        <w:ind w:firstLine="562" w:firstLineChars="200"/>
        <w:rPr>
          <w:rFonts w:eastAsia="黑体"/>
          <w:b/>
          <w:sz w:val="28"/>
          <w:szCs w:val="24"/>
        </w:rPr>
      </w:pPr>
      <w:r>
        <w:rPr>
          <w:rFonts w:eastAsia="黑体"/>
          <w:b/>
          <w:sz w:val="28"/>
          <w:szCs w:val="24"/>
        </w:rPr>
        <w:t>（</w:t>
      </w:r>
      <w:r>
        <w:rPr>
          <w:rFonts w:hint="eastAsia" w:eastAsia="黑体"/>
          <w:b/>
          <w:sz w:val="28"/>
          <w:szCs w:val="24"/>
        </w:rPr>
        <w:t>2</w:t>
      </w:r>
      <w:r>
        <w:rPr>
          <w:rFonts w:eastAsia="黑体"/>
          <w:b/>
          <w:sz w:val="28"/>
          <w:szCs w:val="24"/>
        </w:rPr>
        <w:t>）</w:t>
      </w:r>
      <w:r>
        <w:rPr>
          <w:rFonts w:hint="eastAsia" w:eastAsia="黑体"/>
          <w:b/>
          <w:sz w:val="28"/>
          <w:szCs w:val="24"/>
        </w:rPr>
        <w:t>研究生创新能力培养措施</w:t>
      </w:r>
      <w:r>
        <w:rPr>
          <w:rFonts w:eastAsia="黑体"/>
          <w:b/>
          <w:sz w:val="28"/>
          <w:szCs w:val="24"/>
        </w:rPr>
        <w:t>（列举不超过</w:t>
      </w:r>
      <w:r>
        <w:rPr>
          <w:rFonts w:hint="eastAsia" w:eastAsia="黑体"/>
          <w:b/>
          <w:sz w:val="28"/>
          <w:szCs w:val="24"/>
        </w:rPr>
        <w:t>3</w:t>
      </w:r>
      <w:r>
        <w:rPr>
          <w:rFonts w:eastAsia="黑体"/>
          <w:b/>
          <w:sz w:val="28"/>
          <w:szCs w:val="24"/>
        </w:rPr>
        <w:t>项）</w:t>
      </w:r>
    </w:p>
    <w:tbl>
      <w:tblPr>
        <w:tblStyle w:val="15"/>
        <w:tblW w:w="83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4" w:hRule="atLeast"/>
          <w:jc w:val="center"/>
        </w:trPr>
        <w:tc>
          <w:tcPr>
            <w:tcW w:w="8302" w:type="dxa"/>
          </w:tcPr>
          <w:p>
            <w:pPr>
              <w:adjustRightInd w:val="0"/>
              <w:snapToGrid w:val="0"/>
              <w:ind w:firstLine="480" w:firstLineChars="200"/>
              <w:jc w:val="left"/>
              <w:rPr>
                <w:rFonts w:eastAsia="楷体"/>
                <w:sz w:val="24"/>
                <w:szCs w:val="24"/>
              </w:rPr>
            </w:pPr>
            <w:r>
              <w:rPr>
                <w:rFonts w:eastAsia="楷体_GB2312"/>
                <w:sz w:val="24"/>
                <w:szCs w:val="24"/>
              </w:rPr>
              <w:t>简述</w:t>
            </w:r>
            <w:r>
              <w:rPr>
                <w:rFonts w:hint="eastAsia" w:eastAsia="楷体_GB2312"/>
                <w:sz w:val="24"/>
                <w:szCs w:val="24"/>
              </w:rPr>
              <w:t>实验室为培养</w:t>
            </w:r>
            <w:r>
              <w:rPr>
                <w:rFonts w:eastAsia="楷体_GB2312"/>
                <w:sz w:val="24"/>
                <w:szCs w:val="24"/>
              </w:rPr>
              <w:t>研究</w:t>
            </w:r>
            <w:r>
              <w:rPr>
                <w:rFonts w:ascii="楷体" w:hAnsi="楷体" w:eastAsia="楷体"/>
                <w:sz w:val="24"/>
                <w:szCs w:val="24"/>
              </w:rPr>
              <w:t>生</w:t>
            </w:r>
            <w:r>
              <w:rPr>
                <w:rFonts w:hint="eastAsia" w:ascii="楷体" w:hAnsi="楷体" w:eastAsia="楷体" w:cs="微软雅黑"/>
                <w:sz w:val="24"/>
                <w:szCs w:val="24"/>
              </w:rPr>
              <w:t>采</w:t>
            </w:r>
            <w:r>
              <w:rPr>
                <w:rFonts w:hint="eastAsia" w:ascii="楷体" w:hAnsi="楷体" w:eastAsia="楷体"/>
                <w:sz w:val="24"/>
                <w:szCs w:val="24"/>
              </w:rPr>
              <w:t>取的</w:t>
            </w:r>
            <w:r>
              <w:rPr>
                <w:rFonts w:hint="eastAsia" w:eastAsia="楷体" w:cs="___WRD_EMBED_SUB_38"/>
                <w:sz w:val="24"/>
                <w:szCs w:val="24"/>
              </w:rPr>
              <w:t>创新性培</w:t>
            </w:r>
            <w:r>
              <w:rPr>
                <w:rFonts w:hint="eastAsia" w:eastAsia="楷体"/>
                <w:sz w:val="24"/>
                <w:szCs w:val="24"/>
              </w:rPr>
              <w:t>养措施，并取得</w:t>
            </w:r>
            <w:r>
              <w:rPr>
                <w:rFonts w:hint="eastAsia" w:eastAsia="楷体" w:cs="宋体"/>
                <w:sz w:val="24"/>
                <w:szCs w:val="24"/>
              </w:rPr>
              <w:t>了</w:t>
            </w:r>
            <w:r>
              <w:rPr>
                <w:rFonts w:hint="eastAsia" w:eastAsia="楷体" w:cs="___WRD_EMBED_SUB_38"/>
                <w:sz w:val="24"/>
                <w:szCs w:val="24"/>
              </w:rPr>
              <w:t>一定的成效，包括</w:t>
            </w:r>
            <w:r>
              <w:rPr>
                <w:rFonts w:hint="eastAsia" w:eastAsia="楷体"/>
                <w:sz w:val="24"/>
                <w:szCs w:val="24"/>
              </w:rPr>
              <w:t>研究生教学改</w:t>
            </w:r>
            <w:r>
              <w:rPr>
                <w:rFonts w:hint="eastAsia" w:eastAsia="楷体" w:cs="宋体"/>
                <w:sz w:val="24"/>
                <w:szCs w:val="24"/>
              </w:rPr>
              <w:t>革</w:t>
            </w:r>
            <w:r>
              <w:rPr>
                <w:rFonts w:hint="eastAsia" w:eastAsia="楷体" w:cs="___WRD_EMBED_SUB_38"/>
                <w:sz w:val="24"/>
                <w:szCs w:val="24"/>
              </w:rPr>
              <w:t>、研究生</w:t>
            </w:r>
            <w:r>
              <w:rPr>
                <w:rFonts w:hint="eastAsia" w:eastAsia="楷体" w:cs="宋体"/>
                <w:sz w:val="24"/>
                <w:szCs w:val="24"/>
              </w:rPr>
              <w:t>能力</w:t>
            </w:r>
            <w:r>
              <w:rPr>
                <w:rFonts w:hint="eastAsia" w:eastAsia="楷体" w:cs="___WRD_EMBED_SUB_38"/>
                <w:sz w:val="24"/>
                <w:szCs w:val="24"/>
              </w:rPr>
              <w:t>提升计划、研究生国际化教学、</w:t>
            </w:r>
            <w:r>
              <w:rPr>
                <w:rFonts w:hint="eastAsia" w:eastAsia="楷体"/>
                <w:sz w:val="24"/>
                <w:szCs w:val="24"/>
              </w:rPr>
              <w:t>举</w:t>
            </w:r>
            <w:r>
              <w:rPr>
                <w:rFonts w:hint="eastAsia" w:eastAsia="楷体" w:cs="宋体"/>
                <w:sz w:val="24"/>
                <w:szCs w:val="24"/>
              </w:rPr>
              <w:t>办国家或</w:t>
            </w:r>
            <w:r>
              <w:rPr>
                <w:rFonts w:hint="eastAsia" w:eastAsia="楷体" w:cs="___WRD_EMBED_SUB_38"/>
                <w:sz w:val="24"/>
                <w:szCs w:val="24"/>
              </w:rPr>
              <w:t>行业创新竞赛</w:t>
            </w:r>
            <w:r>
              <w:rPr>
                <w:rFonts w:hint="eastAsia" w:eastAsia="楷体"/>
                <w:sz w:val="24"/>
                <w:szCs w:val="24"/>
              </w:rPr>
              <w:t>等</w:t>
            </w:r>
            <w:r>
              <w:rPr>
                <w:rFonts w:eastAsia="楷体"/>
                <w:sz w:val="24"/>
                <w:szCs w:val="24"/>
              </w:rPr>
              <w:t>（每段描述</w:t>
            </w:r>
            <w:r>
              <w:rPr>
                <w:rFonts w:hint="eastAsia" w:eastAsia="楷体"/>
                <w:sz w:val="24"/>
                <w:szCs w:val="24"/>
              </w:rPr>
              <w:t>3</w:t>
            </w:r>
            <w:r>
              <w:rPr>
                <w:rFonts w:eastAsia="楷体"/>
                <w:sz w:val="24"/>
                <w:szCs w:val="24"/>
              </w:rPr>
              <w:t>00字以内）</w:t>
            </w:r>
          </w:p>
          <w:p>
            <w:pPr>
              <w:adjustRightInd w:val="0"/>
              <w:snapToGrid w:val="0"/>
              <w:spacing w:before="156" w:beforeLines="50" w:line="360" w:lineRule="auto"/>
              <w:ind w:firstLine="480" w:firstLineChars="200"/>
              <w:jc w:val="left"/>
              <w:rPr>
                <w:sz w:val="24"/>
                <w:szCs w:val="24"/>
              </w:rPr>
            </w:pPr>
            <w:r>
              <w:rPr>
                <w:sz w:val="24"/>
                <w:szCs w:val="24"/>
              </w:rPr>
              <w:t>（1）开展研究生教学改革与创新，助力研究生创新能力培养。研究生课程设置紧密围绕专业人才培养需求，理论与实践并重、基础与前沿交融。根据重点实验室及依托学科专业研究特色，开设了生物无机化学、天然有机化学、天然药物化学、药物分析化学等特色课程。课程教学灵活采用多种教学方法，科教融合，注重培养研究生创造性思维及创新能力。充分利用重点实验室大型仪器设备平台优势，依托校级研究生精品课程《表征技术》，注重研究生实践技能训练，培养学生科研实践创新能力。建立教学科研实践基地以及研究生创新创业教育基地，通过校企/校地合作培养，提升研究生创新能力。</w:t>
            </w:r>
          </w:p>
          <w:p>
            <w:pPr>
              <w:adjustRightInd w:val="0"/>
              <w:snapToGrid w:val="0"/>
              <w:spacing w:before="156" w:beforeLines="50" w:line="360" w:lineRule="auto"/>
              <w:ind w:firstLine="480" w:firstLineChars="200"/>
              <w:jc w:val="left"/>
              <w:rPr>
                <w:sz w:val="24"/>
                <w:szCs w:val="24"/>
              </w:rPr>
            </w:pPr>
            <w:r>
              <w:rPr>
                <w:sz w:val="24"/>
                <w:szCs w:val="24"/>
              </w:rPr>
              <w:t>（2）实施研究生教育创新和优秀硕/博士论文培养计划，培养研究生创新意识和能力。通过创新项目，为研究生提供更好的成长条件和发展空间，支持研究生开展高水平创新性研究。近五年重点实验室先后共有31名研究生获得国家研究生奖学金，发表大类一区高水平论文60篇，有7人作为主要完成人获广西科学技术奖；近五年研究生学位论文抽检合格率达100%。</w:t>
            </w:r>
          </w:p>
          <w:p>
            <w:pPr>
              <w:adjustRightInd w:val="0"/>
              <w:snapToGrid w:val="0"/>
              <w:spacing w:before="156" w:beforeLines="50" w:line="360" w:lineRule="auto"/>
              <w:ind w:firstLine="480" w:firstLineChars="200"/>
              <w:jc w:val="left"/>
              <w:rPr>
                <w:rFonts w:eastAsia="楷体_GB2312"/>
                <w:sz w:val="24"/>
                <w:szCs w:val="24"/>
              </w:rPr>
            </w:pPr>
            <w:r>
              <w:rPr>
                <w:sz w:val="24"/>
                <w:szCs w:val="24"/>
              </w:rPr>
              <w:t>（3）支持鼓励参加国际学术活动，拓宽研究生学术视野。积极邀请国外高水平专家来校进行讲学，同时支持鼓励研究生参与国际学术会议，并将研究生学术活动参与度作为研究生培养及考核中的重要环节，为研究生创造国际化教学氛围作有益尝试。近五年，重点实验邀请国外知名专家进行学术报告讲学151次，实验室研究生参加国际学术会议23人次。通过参与国际学术活动，拓宽研究生对学科前沿领域和研究方向的认识，开阔研究生的学术和国际视野。</w:t>
            </w:r>
          </w:p>
        </w:tc>
      </w:tr>
    </w:tbl>
    <w:p>
      <w:pPr>
        <w:adjustRightInd w:val="0"/>
        <w:snapToGrid w:val="0"/>
        <w:spacing w:line="360" w:lineRule="auto"/>
        <w:rPr>
          <w:rFonts w:eastAsia="黑体"/>
          <w:b/>
          <w:sz w:val="28"/>
          <w:szCs w:val="24"/>
        </w:rPr>
      </w:pPr>
    </w:p>
    <w:p>
      <w:pPr>
        <w:widowControl/>
        <w:jc w:val="left"/>
        <w:rPr>
          <w:rFonts w:eastAsia="黑体"/>
          <w:b/>
          <w:sz w:val="28"/>
          <w:szCs w:val="24"/>
        </w:rPr>
      </w:pPr>
      <w:r>
        <w:rPr>
          <w:rFonts w:eastAsia="黑体"/>
          <w:b/>
          <w:sz w:val="28"/>
          <w:szCs w:val="24"/>
        </w:rPr>
        <w:br w:type="page"/>
      </w:r>
    </w:p>
    <w:p>
      <w:pPr>
        <w:adjustRightInd w:val="0"/>
        <w:snapToGrid w:val="0"/>
        <w:spacing w:line="360" w:lineRule="auto"/>
        <w:ind w:firstLine="562" w:firstLineChars="200"/>
        <w:rPr>
          <w:rFonts w:eastAsia="黑体"/>
          <w:b/>
          <w:sz w:val="28"/>
          <w:szCs w:val="24"/>
        </w:rPr>
      </w:pPr>
      <w:r>
        <w:rPr>
          <w:rFonts w:eastAsia="黑体"/>
          <w:b/>
          <w:sz w:val="28"/>
          <w:szCs w:val="24"/>
        </w:rPr>
        <w:t>（</w:t>
      </w:r>
      <w:r>
        <w:rPr>
          <w:rFonts w:hint="eastAsia" w:eastAsia="黑体"/>
          <w:b/>
          <w:sz w:val="28"/>
          <w:szCs w:val="24"/>
        </w:rPr>
        <w:t>3</w:t>
      </w:r>
      <w:r>
        <w:rPr>
          <w:rFonts w:eastAsia="黑体"/>
          <w:b/>
          <w:sz w:val="28"/>
          <w:szCs w:val="24"/>
        </w:rPr>
        <w:t>）研究生代表性成果（列举不超过5项）</w:t>
      </w:r>
    </w:p>
    <w:tbl>
      <w:tblPr>
        <w:tblStyle w:val="15"/>
        <w:tblW w:w="83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6" w:hRule="atLeast"/>
          <w:jc w:val="center"/>
        </w:trPr>
        <w:tc>
          <w:tcPr>
            <w:tcW w:w="8302" w:type="dxa"/>
          </w:tcPr>
          <w:p>
            <w:pPr>
              <w:adjustRightInd w:val="0"/>
              <w:snapToGrid w:val="0"/>
              <w:ind w:firstLine="480" w:firstLineChars="200"/>
              <w:jc w:val="left"/>
              <w:rPr>
                <w:rFonts w:eastAsia="楷体_GB2312"/>
                <w:sz w:val="24"/>
                <w:szCs w:val="24"/>
              </w:rPr>
            </w:pPr>
            <w:r>
              <w:rPr>
                <w:rFonts w:eastAsia="楷体_GB2312"/>
                <w:sz w:val="24"/>
                <w:szCs w:val="24"/>
              </w:rPr>
              <w:t>简述研究生在实验室平台的锻炼中，取得的代表性科研成果，包括高水平论文发表、国际学术会议大会发言、挑战杯获奖、国际竞赛获奖等。（每段描述200字以内）</w:t>
            </w:r>
          </w:p>
          <w:p>
            <w:pPr>
              <w:adjustRightInd w:val="0"/>
              <w:snapToGrid w:val="0"/>
              <w:spacing w:before="156" w:beforeLines="50" w:line="360" w:lineRule="auto"/>
              <w:ind w:firstLine="480" w:firstLineChars="200"/>
              <w:jc w:val="left"/>
              <w:rPr>
                <w:rFonts w:eastAsia="楷体_GB2312"/>
                <w:sz w:val="24"/>
                <w:szCs w:val="24"/>
              </w:rPr>
            </w:pPr>
            <w:r>
              <w:rPr>
                <w:sz w:val="24"/>
                <w:szCs w:val="24"/>
              </w:rPr>
              <w:t>1.</w:t>
            </w:r>
            <w:r>
              <w:t xml:space="preserve"> </w:t>
            </w:r>
            <w:r>
              <w:rPr>
                <w:b/>
                <w:bCs/>
                <w:sz w:val="24"/>
                <w:szCs w:val="24"/>
              </w:rPr>
              <w:t>特色药材中抗病毒和抗神经炎症活性新成分</w:t>
            </w:r>
            <w:r>
              <w:rPr>
                <w:sz w:val="24"/>
                <w:szCs w:val="24"/>
              </w:rPr>
              <w:t>（硕士研究生潘其明，导师梁东教授）：从广豆根中发现一个对柯萨奇病毒B3具有高抑制活性的新生物碱，其抑制能力比利巴韦林强45倍；从山乌桕中发现系列具有显著抗神经炎症活性的</w:t>
            </w:r>
            <w:r>
              <w:rPr>
                <w:rFonts w:hint="eastAsia"/>
                <w:sz w:val="24"/>
                <w:szCs w:val="24"/>
              </w:rPr>
              <w:t>香豆素并木脂素</w:t>
            </w:r>
            <w:r>
              <w:rPr>
                <w:sz w:val="24"/>
                <w:szCs w:val="24"/>
              </w:rPr>
              <w:t>和</w:t>
            </w:r>
            <w:r>
              <w:rPr>
                <w:rFonts w:hint="eastAsia"/>
                <w:sz w:val="24"/>
                <w:szCs w:val="24"/>
              </w:rPr>
              <w:t>蒲公烷型三萜</w:t>
            </w:r>
            <w:r>
              <w:rPr>
                <w:sz w:val="24"/>
                <w:szCs w:val="24"/>
              </w:rPr>
              <w:t>。在</w:t>
            </w:r>
            <w:r>
              <w:rPr>
                <w:i/>
                <w:sz w:val="24"/>
                <w:szCs w:val="24"/>
              </w:rPr>
              <w:t>J. Nat. Prod.</w:t>
            </w:r>
            <w:r>
              <w:rPr>
                <w:iCs/>
                <w:sz w:val="24"/>
                <w:szCs w:val="24"/>
              </w:rPr>
              <w:t>等国际著名学术期刊上</w:t>
            </w:r>
            <w:r>
              <w:rPr>
                <w:sz w:val="24"/>
                <w:szCs w:val="24"/>
              </w:rPr>
              <w:t>发表SCI论文4篇，中文核心1篇。</w:t>
            </w:r>
          </w:p>
          <w:p>
            <w:pPr>
              <w:spacing w:before="156" w:beforeLines="50" w:line="360" w:lineRule="auto"/>
              <w:ind w:firstLine="480" w:firstLineChars="200"/>
              <w:rPr>
                <w:rFonts w:eastAsiaTheme="minorEastAsia"/>
                <w:sz w:val="24"/>
                <w:szCs w:val="24"/>
              </w:rPr>
            </w:pPr>
            <w:r>
              <w:rPr>
                <w:rFonts w:eastAsiaTheme="minorEastAsia"/>
                <w:sz w:val="24"/>
                <w:szCs w:val="24"/>
              </w:rPr>
              <w:t xml:space="preserve">2. </w:t>
            </w:r>
            <w:r>
              <w:rPr>
                <w:rFonts w:hint="eastAsia" w:eastAsiaTheme="minorEastAsia"/>
                <w:b/>
                <w:bCs/>
                <w:sz w:val="24"/>
                <w:szCs w:val="24"/>
              </w:rPr>
              <w:t>氧化(异)阿朴啡金属配合物的合成及抗肿瘤作用研究</w:t>
            </w:r>
            <w:r>
              <w:rPr>
                <w:rFonts w:eastAsiaTheme="minorEastAsia"/>
                <w:sz w:val="24"/>
                <w:szCs w:val="24"/>
              </w:rPr>
              <w:t>（博士研究生覃其品，导师陈振锋教授）：率先开展了氧化阿朴啡衍生物和氧化异阿朴菲的前期研究工作，合成出上百种</w:t>
            </w:r>
            <w:r>
              <w:rPr>
                <w:rFonts w:hint="eastAsia" w:eastAsiaTheme="minorEastAsia"/>
                <w:sz w:val="24"/>
                <w:szCs w:val="24"/>
              </w:rPr>
              <w:t>氧化(异)阿朴啡金属配合物，</w:t>
            </w:r>
            <w:r>
              <w:rPr>
                <w:rFonts w:eastAsiaTheme="minorEastAsia"/>
                <w:sz w:val="24"/>
                <w:szCs w:val="24"/>
              </w:rPr>
              <w:t>并揭示了相关化合物在体内外抑制肿瘤细胞和瘤块生长的作用机。先后在国际药学权威期刊</w:t>
            </w:r>
            <w:r>
              <w:rPr>
                <w:rFonts w:eastAsiaTheme="minorEastAsia"/>
                <w:bCs/>
                <w:i/>
                <w:iCs/>
                <w:sz w:val="24"/>
                <w:szCs w:val="24"/>
              </w:rPr>
              <w:t>J. Med. Chem.</w:t>
            </w:r>
            <w:r>
              <w:rPr>
                <w:rFonts w:eastAsiaTheme="minorEastAsia"/>
                <w:bCs/>
                <w:iCs/>
                <w:sz w:val="24"/>
                <w:szCs w:val="24"/>
              </w:rPr>
              <w:t xml:space="preserve">, </w:t>
            </w:r>
            <w:r>
              <w:rPr>
                <w:rFonts w:eastAsiaTheme="minorEastAsia"/>
                <w:bCs/>
                <w:i/>
                <w:iCs/>
                <w:sz w:val="24"/>
                <w:szCs w:val="24"/>
              </w:rPr>
              <w:t>Metallomics</w:t>
            </w:r>
            <w:r>
              <w:rPr>
                <w:rFonts w:eastAsiaTheme="minorEastAsia"/>
                <w:bCs/>
                <w:iCs/>
                <w:sz w:val="24"/>
                <w:szCs w:val="24"/>
              </w:rPr>
              <w:t xml:space="preserve">, </w:t>
            </w:r>
            <w:r>
              <w:rPr>
                <w:rFonts w:eastAsiaTheme="minorEastAsia"/>
                <w:bCs/>
                <w:i/>
                <w:iCs/>
                <w:sz w:val="24"/>
                <w:szCs w:val="24"/>
              </w:rPr>
              <w:t>Eur. J. Med. Chem</w:t>
            </w:r>
            <w:r>
              <w:rPr>
                <w:rFonts w:eastAsiaTheme="minorEastAsia"/>
                <w:bCs/>
                <w:iCs/>
                <w:sz w:val="24"/>
                <w:szCs w:val="24"/>
              </w:rPr>
              <w:t>.等发表论文13篇，</w:t>
            </w:r>
            <w:r>
              <w:rPr>
                <w:rFonts w:eastAsiaTheme="minorEastAsia"/>
                <w:sz w:val="24"/>
                <w:szCs w:val="24"/>
              </w:rPr>
              <w:t>获授权国家发明专利5项。</w:t>
            </w:r>
          </w:p>
          <w:p>
            <w:pPr>
              <w:spacing w:before="156" w:beforeLines="50" w:line="360" w:lineRule="auto"/>
              <w:ind w:firstLine="480" w:firstLineChars="200"/>
              <w:rPr>
                <w:rFonts w:eastAsiaTheme="minorEastAsia"/>
                <w:sz w:val="24"/>
                <w:szCs w:val="24"/>
              </w:rPr>
            </w:pPr>
            <w:r>
              <w:rPr>
                <w:rFonts w:eastAsiaTheme="minorEastAsia"/>
                <w:sz w:val="24"/>
                <w:szCs w:val="24"/>
              </w:rPr>
              <w:t xml:space="preserve">3. </w:t>
            </w:r>
            <w:r>
              <w:rPr>
                <w:rFonts w:eastAsiaTheme="minorEastAsia"/>
                <w:b/>
                <w:bCs/>
                <w:sz w:val="24"/>
                <w:szCs w:val="24"/>
              </w:rPr>
              <w:t>ACF蛋白结构及功能研究</w:t>
            </w:r>
            <w:r>
              <w:rPr>
                <w:rFonts w:eastAsiaTheme="minorEastAsia"/>
                <w:sz w:val="24"/>
                <w:szCs w:val="24"/>
              </w:rPr>
              <w:t>（博士研究生张耀，导师杨峰教授）：解析了ACF7蛋白的N端结构域，揭示了ACF7蛋白磷酸化对于体内黏着斑动力学和细胞迁移具有关键作用，阐明了ACF7蛋白的细胞骨架交联活性来调控微管特异性引导黏着斑机制；首次解析了ACF7蛋白C端结构域，揭示了ACF7蛋白C端结构域与微管蛋白相互结合机制，证明了ACF7蛋白通过肠上皮细胞紧密连接的动态协调微管和调节肠道细胞运动和伤口愈合。在国际权威期刊</w:t>
            </w:r>
            <w:r>
              <w:rPr>
                <w:rFonts w:eastAsiaTheme="minorEastAsia"/>
                <w:i/>
                <w:sz w:val="24"/>
                <w:szCs w:val="24"/>
              </w:rPr>
              <w:t>Nat. Commun.</w:t>
            </w:r>
            <w:r>
              <w:rPr>
                <w:rFonts w:eastAsiaTheme="minorEastAsia"/>
                <w:sz w:val="24"/>
                <w:szCs w:val="24"/>
              </w:rPr>
              <w:t>发表学术论文2篇。</w:t>
            </w:r>
          </w:p>
          <w:p>
            <w:pPr>
              <w:spacing w:before="156" w:beforeLines="50" w:line="360" w:lineRule="auto"/>
              <w:ind w:firstLine="480" w:firstLineChars="200"/>
              <w:rPr>
                <w:rFonts w:eastAsiaTheme="minorEastAsia"/>
                <w:sz w:val="24"/>
                <w:szCs w:val="24"/>
              </w:rPr>
            </w:pPr>
            <w:r>
              <w:rPr>
                <w:rFonts w:eastAsiaTheme="minorEastAsia"/>
                <w:sz w:val="24"/>
                <w:szCs w:val="24"/>
              </w:rPr>
              <w:t xml:space="preserve">4. </w:t>
            </w:r>
            <w:r>
              <w:rPr>
                <w:rFonts w:eastAsiaTheme="minorEastAsia"/>
                <w:b/>
                <w:bCs/>
                <w:sz w:val="24"/>
                <w:szCs w:val="24"/>
              </w:rPr>
              <w:t>氮中环骨架化合物的环加成与重排串联构建</w:t>
            </w:r>
            <w:r>
              <w:rPr>
                <w:rFonts w:eastAsiaTheme="minorEastAsia"/>
                <w:sz w:val="24"/>
                <w:szCs w:val="24"/>
              </w:rPr>
              <w:t>（博士研究生马小盼，导师莫冬亮教授）：提出了[3+2]环加成与[3,3]重排串联构建中环骨架化合物的新策略，实现了螺芴基哌啶酮、稠环吲哚啉和苯并氮杂九元环生物碱的高效合成。相关成果在国际著名化学期刊</w:t>
            </w:r>
            <w:r>
              <w:rPr>
                <w:rFonts w:eastAsiaTheme="minorEastAsia"/>
                <w:i/>
                <w:iCs/>
                <w:sz w:val="24"/>
                <w:szCs w:val="24"/>
              </w:rPr>
              <w:t>Green Chem.</w:t>
            </w:r>
            <w:r>
              <w:rPr>
                <w:rFonts w:eastAsiaTheme="minorEastAsia"/>
                <w:sz w:val="24"/>
                <w:szCs w:val="24"/>
              </w:rPr>
              <w:t xml:space="preserve">, </w:t>
            </w:r>
            <w:r>
              <w:rPr>
                <w:rFonts w:eastAsiaTheme="minorEastAsia"/>
                <w:i/>
                <w:iCs/>
                <w:sz w:val="24"/>
                <w:szCs w:val="24"/>
              </w:rPr>
              <w:t>Org. Lett</w:t>
            </w:r>
            <w:r>
              <w:rPr>
                <w:rFonts w:hint="eastAsia" w:eastAsiaTheme="minorEastAsia"/>
                <w:i/>
                <w:iCs/>
                <w:sz w:val="24"/>
                <w:szCs w:val="24"/>
              </w:rPr>
              <w:t>.</w:t>
            </w:r>
            <w:r>
              <w:rPr>
                <w:rFonts w:eastAsiaTheme="minorEastAsia"/>
                <w:sz w:val="24"/>
                <w:szCs w:val="24"/>
              </w:rPr>
              <w:t xml:space="preserve">, </w:t>
            </w:r>
            <w:r>
              <w:rPr>
                <w:rFonts w:eastAsiaTheme="minorEastAsia"/>
                <w:i/>
                <w:iCs/>
                <w:sz w:val="24"/>
                <w:szCs w:val="24"/>
              </w:rPr>
              <w:t>J.Org. Chem.</w:t>
            </w:r>
            <w:r>
              <w:rPr>
                <w:rFonts w:eastAsiaTheme="minorEastAsia"/>
                <w:sz w:val="24"/>
                <w:szCs w:val="24"/>
              </w:rPr>
              <w:t>等发表SCI论文5篇，撰写综述1篇，1篇论文入选期刊封面和热点论文；获授权国家发明专利1项。</w:t>
            </w:r>
          </w:p>
          <w:p>
            <w:pPr>
              <w:adjustRightInd w:val="0"/>
              <w:snapToGrid w:val="0"/>
              <w:spacing w:before="156" w:beforeLines="50" w:line="360" w:lineRule="auto"/>
              <w:ind w:firstLine="480" w:firstLineChars="200"/>
              <w:rPr>
                <w:rFonts w:eastAsiaTheme="minorEastAsia"/>
                <w:sz w:val="24"/>
                <w:szCs w:val="24"/>
              </w:rPr>
            </w:pPr>
            <w:r>
              <w:rPr>
                <w:rFonts w:eastAsiaTheme="minorEastAsia"/>
                <w:sz w:val="24"/>
                <w:szCs w:val="24"/>
              </w:rPr>
              <w:t xml:space="preserve">5. </w:t>
            </w:r>
            <w:r>
              <w:rPr>
                <w:rFonts w:eastAsiaTheme="minorEastAsia"/>
                <w:b/>
                <w:bCs/>
                <w:sz w:val="24"/>
                <w:szCs w:val="24"/>
              </w:rPr>
              <w:t>聚苯胺类有机共轭聚合物光治疗材料设计与制备</w:t>
            </w:r>
            <w:r>
              <w:rPr>
                <w:rFonts w:eastAsiaTheme="minorEastAsia"/>
                <w:sz w:val="24"/>
                <w:szCs w:val="24"/>
              </w:rPr>
              <w:t>（硕士研究生张丽，导师沈星灿教授）：发展了一类聚N-苯基甘氨酸基的新型有机共轭聚合物光治疗骨架，建立了“表面组装+细胞适配”的有机共轭聚合物光治疗材料功能化构筑新策略；丰富了有机共轭聚合物光治疗骨架种类，为发展新型有机共轭聚合物基光治疗材料提供了功能化新思路。相关工作在</w:t>
            </w:r>
            <w:r>
              <w:rPr>
                <w:rFonts w:eastAsiaTheme="minorEastAsia"/>
                <w:i/>
                <w:sz w:val="24"/>
                <w:szCs w:val="24"/>
              </w:rPr>
              <w:t>Small</w:t>
            </w:r>
            <w:r>
              <w:rPr>
                <w:rFonts w:hint="eastAsia" w:eastAsiaTheme="minorEastAsia"/>
                <w:sz w:val="24"/>
                <w:szCs w:val="24"/>
              </w:rPr>
              <w:t>，</w:t>
            </w:r>
            <w:r>
              <w:rPr>
                <w:rFonts w:eastAsiaTheme="minorEastAsia"/>
                <w:i/>
                <w:sz w:val="24"/>
                <w:szCs w:val="24"/>
              </w:rPr>
              <w:t>J. Mater. Chem. B</w:t>
            </w:r>
            <w:r>
              <w:rPr>
                <w:rFonts w:eastAsiaTheme="minorEastAsia"/>
                <w:sz w:val="24"/>
                <w:szCs w:val="24"/>
              </w:rPr>
              <w:t>等期刊发表SCI论文3篇，获授权国家发明专利2项。</w:t>
            </w:r>
          </w:p>
          <w:p>
            <w:pPr>
              <w:adjustRightInd w:val="0"/>
              <w:snapToGrid w:val="0"/>
              <w:spacing w:before="50" w:line="276" w:lineRule="auto"/>
              <w:ind w:firstLine="562" w:firstLineChars="200"/>
              <w:jc w:val="left"/>
              <w:rPr>
                <w:rFonts w:eastAsia="黑体"/>
                <w:b/>
                <w:sz w:val="28"/>
                <w:szCs w:val="24"/>
              </w:rPr>
            </w:pPr>
          </w:p>
        </w:tc>
      </w:tr>
    </w:tbl>
    <w:p>
      <w:pPr>
        <w:adjustRightInd w:val="0"/>
        <w:snapToGrid w:val="0"/>
        <w:spacing w:line="360" w:lineRule="auto"/>
        <w:ind w:firstLine="562" w:firstLineChars="200"/>
        <w:rPr>
          <w:rFonts w:eastAsia="黑体"/>
          <w:b/>
          <w:sz w:val="28"/>
          <w:szCs w:val="24"/>
        </w:rPr>
      </w:pPr>
    </w:p>
    <w:p>
      <w:pPr>
        <w:widowControl/>
        <w:jc w:val="left"/>
        <w:rPr>
          <w:rFonts w:eastAsia="黑体"/>
          <w:b/>
          <w:sz w:val="28"/>
          <w:szCs w:val="24"/>
        </w:rPr>
      </w:pPr>
      <w:r>
        <w:rPr>
          <w:rFonts w:eastAsia="黑体"/>
          <w:b/>
          <w:sz w:val="28"/>
          <w:szCs w:val="24"/>
        </w:rPr>
        <w:br w:type="page"/>
      </w:r>
    </w:p>
    <w:p>
      <w:pPr>
        <w:adjustRightInd w:val="0"/>
        <w:snapToGrid w:val="0"/>
        <w:spacing w:line="360" w:lineRule="auto"/>
        <w:ind w:firstLine="562" w:firstLineChars="200"/>
        <w:rPr>
          <w:rFonts w:eastAsia="黑体"/>
          <w:b/>
          <w:sz w:val="28"/>
          <w:szCs w:val="24"/>
        </w:rPr>
      </w:pPr>
      <w:r>
        <w:rPr>
          <w:rFonts w:eastAsia="黑体"/>
          <w:b/>
          <w:sz w:val="28"/>
          <w:szCs w:val="24"/>
        </w:rPr>
        <w:t>（3）研究生参加国际会议情况（列举10项以内）</w:t>
      </w:r>
    </w:p>
    <w:tbl>
      <w:tblPr>
        <w:tblStyle w:val="15"/>
        <w:tblW w:w="8391"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
      <w:tblGrid>
        <w:gridCol w:w="581"/>
        <w:gridCol w:w="1007"/>
        <w:gridCol w:w="1715"/>
        <w:gridCol w:w="3246"/>
        <w:gridCol w:w="849"/>
        <w:gridCol w:w="9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Ex>
        <w:trPr>
          <w:trHeight w:val="454" w:hRule="atLeast"/>
        </w:trPr>
        <w:tc>
          <w:tcPr>
            <w:tcW w:w="581" w:type="dxa"/>
            <w:vAlign w:val="center"/>
          </w:tcPr>
          <w:p>
            <w:pPr>
              <w:adjustRightInd w:val="0"/>
              <w:snapToGrid w:val="0"/>
              <w:spacing w:line="276" w:lineRule="auto"/>
              <w:rPr>
                <w:rFonts w:eastAsiaTheme="minorEastAsia"/>
                <w:b/>
                <w:sz w:val="24"/>
                <w:szCs w:val="24"/>
              </w:rPr>
            </w:pPr>
            <w:r>
              <w:rPr>
                <w:rFonts w:eastAsiaTheme="minorEastAsia"/>
                <w:b/>
                <w:sz w:val="24"/>
                <w:szCs w:val="24"/>
              </w:rPr>
              <w:t>序号</w:t>
            </w:r>
          </w:p>
        </w:tc>
        <w:tc>
          <w:tcPr>
            <w:tcW w:w="1007" w:type="dxa"/>
            <w:vAlign w:val="center"/>
          </w:tcPr>
          <w:p>
            <w:pPr>
              <w:adjustRightInd w:val="0"/>
              <w:snapToGrid w:val="0"/>
              <w:spacing w:line="276" w:lineRule="auto"/>
              <w:rPr>
                <w:rFonts w:eastAsiaTheme="minorEastAsia"/>
                <w:b/>
                <w:sz w:val="24"/>
                <w:szCs w:val="24"/>
              </w:rPr>
            </w:pPr>
            <w:r>
              <w:rPr>
                <w:rFonts w:eastAsiaTheme="minorEastAsia"/>
                <w:b/>
                <w:sz w:val="24"/>
                <w:szCs w:val="24"/>
              </w:rPr>
              <w:t>参加会议形式</w:t>
            </w:r>
          </w:p>
        </w:tc>
        <w:tc>
          <w:tcPr>
            <w:tcW w:w="1715" w:type="dxa"/>
            <w:vAlign w:val="center"/>
          </w:tcPr>
          <w:p>
            <w:pPr>
              <w:adjustRightInd w:val="0"/>
              <w:snapToGrid w:val="0"/>
              <w:spacing w:line="276" w:lineRule="auto"/>
              <w:rPr>
                <w:rFonts w:eastAsiaTheme="minorEastAsia"/>
                <w:b/>
                <w:sz w:val="24"/>
                <w:szCs w:val="24"/>
              </w:rPr>
            </w:pPr>
            <w:r>
              <w:rPr>
                <w:rFonts w:eastAsiaTheme="minorEastAsia"/>
                <w:b/>
                <w:sz w:val="24"/>
                <w:szCs w:val="24"/>
              </w:rPr>
              <w:t>参加会议研究生</w:t>
            </w:r>
          </w:p>
        </w:tc>
        <w:tc>
          <w:tcPr>
            <w:tcW w:w="3246" w:type="dxa"/>
            <w:vAlign w:val="center"/>
          </w:tcPr>
          <w:p>
            <w:pPr>
              <w:adjustRightInd w:val="0"/>
              <w:snapToGrid w:val="0"/>
              <w:spacing w:line="276" w:lineRule="auto"/>
              <w:rPr>
                <w:rFonts w:eastAsiaTheme="minorEastAsia"/>
                <w:b/>
                <w:sz w:val="24"/>
                <w:szCs w:val="24"/>
              </w:rPr>
            </w:pPr>
            <w:r>
              <w:rPr>
                <w:rFonts w:eastAsiaTheme="minorEastAsia"/>
                <w:b/>
                <w:sz w:val="24"/>
                <w:szCs w:val="24"/>
              </w:rPr>
              <w:t>参加会议名称及会议主办方</w:t>
            </w:r>
          </w:p>
        </w:tc>
        <w:tc>
          <w:tcPr>
            <w:tcW w:w="849" w:type="dxa"/>
            <w:vAlign w:val="center"/>
          </w:tcPr>
          <w:p>
            <w:pPr>
              <w:adjustRightInd w:val="0"/>
              <w:snapToGrid w:val="0"/>
              <w:spacing w:line="276" w:lineRule="auto"/>
              <w:rPr>
                <w:rFonts w:eastAsiaTheme="minorEastAsia"/>
                <w:b/>
                <w:sz w:val="24"/>
                <w:szCs w:val="24"/>
              </w:rPr>
            </w:pPr>
            <w:r>
              <w:rPr>
                <w:rFonts w:eastAsiaTheme="minorEastAsia"/>
                <w:b/>
                <w:sz w:val="24"/>
                <w:szCs w:val="24"/>
              </w:rPr>
              <w:t>参加会议年度</w:t>
            </w:r>
          </w:p>
        </w:tc>
        <w:tc>
          <w:tcPr>
            <w:tcW w:w="993" w:type="dxa"/>
            <w:vAlign w:val="center"/>
          </w:tcPr>
          <w:p>
            <w:pPr>
              <w:adjustRightInd w:val="0"/>
              <w:snapToGrid w:val="0"/>
              <w:spacing w:line="276" w:lineRule="auto"/>
              <w:rPr>
                <w:rFonts w:eastAsiaTheme="minorEastAsia"/>
                <w:b/>
                <w:sz w:val="24"/>
                <w:szCs w:val="24"/>
              </w:rPr>
            </w:pPr>
            <w:r>
              <w:rPr>
                <w:rFonts w:eastAsiaTheme="minorEastAsia"/>
                <w:b/>
                <w:sz w:val="24"/>
                <w:szCs w:val="24"/>
              </w:rPr>
              <w:t>导师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Ex>
        <w:trPr>
          <w:trHeight w:val="454" w:hRule="atLeast"/>
        </w:trPr>
        <w:tc>
          <w:tcPr>
            <w:tcW w:w="581" w:type="dxa"/>
            <w:vAlign w:val="center"/>
          </w:tcPr>
          <w:p>
            <w:pPr>
              <w:pStyle w:val="47"/>
              <w:numPr>
                <w:ilvl w:val="0"/>
                <w:numId w:val="2"/>
              </w:numPr>
              <w:spacing w:line="276" w:lineRule="auto"/>
              <w:ind w:right="-311" w:rightChars="-148" w:hanging="406" w:firstLineChars="0"/>
              <w:jc w:val="center"/>
              <w:rPr>
                <w:rFonts w:eastAsiaTheme="minorEastAsia"/>
                <w:sz w:val="24"/>
                <w:szCs w:val="24"/>
              </w:rPr>
            </w:pPr>
          </w:p>
        </w:tc>
        <w:tc>
          <w:tcPr>
            <w:tcW w:w="1007" w:type="dxa"/>
            <w:vAlign w:val="center"/>
          </w:tcPr>
          <w:p>
            <w:pPr>
              <w:spacing w:line="276" w:lineRule="auto"/>
              <w:jc w:val="center"/>
              <w:rPr>
                <w:rFonts w:eastAsiaTheme="minorEastAsia"/>
                <w:sz w:val="24"/>
                <w:szCs w:val="24"/>
              </w:rPr>
            </w:pPr>
            <w:r>
              <w:rPr>
                <w:rFonts w:eastAsiaTheme="minorEastAsia"/>
                <w:sz w:val="24"/>
                <w:szCs w:val="24"/>
              </w:rPr>
              <w:t>发表会议论文</w:t>
            </w:r>
          </w:p>
        </w:tc>
        <w:tc>
          <w:tcPr>
            <w:tcW w:w="1715" w:type="dxa"/>
            <w:vAlign w:val="center"/>
          </w:tcPr>
          <w:p>
            <w:pPr>
              <w:spacing w:line="276" w:lineRule="auto"/>
              <w:rPr>
                <w:rFonts w:eastAsiaTheme="minorEastAsia"/>
                <w:sz w:val="24"/>
                <w:szCs w:val="24"/>
              </w:rPr>
            </w:pPr>
            <w:r>
              <w:rPr>
                <w:rFonts w:eastAsiaTheme="minorEastAsia"/>
                <w:sz w:val="24"/>
                <w:szCs w:val="24"/>
              </w:rPr>
              <w:t>覃其品</w:t>
            </w:r>
          </w:p>
        </w:tc>
        <w:tc>
          <w:tcPr>
            <w:tcW w:w="3246" w:type="dxa"/>
            <w:vAlign w:val="center"/>
          </w:tcPr>
          <w:p>
            <w:pPr>
              <w:spacing w:line="276" w:lineRule="auto"/>
              <w:rPr>
                <w:rFonts w:eastAsiaTheme="minorEastAsia"/>
                <w:sz w:val="24"/>
                <w:szCs w:val="24"/>
              </w:rPr>
            </w:pPr>
            <w:r>
              <w:rPr>
                <w:rFonts w:eastAsiaTheme="minorEastAsia"/>
                <w:kern w:val="0"/>
                <w:sz w:val="24"/>
                <w:szCs w:val="24"/>
              </w:rPr>
              <w:t>The 8th Asian Biological Inorganic Chemistry Conference</w:t>
            </w:r>
            <w:r>
              <w:rPr>
                <w:rFonts w:eastAsiaTheme="minorEastAsia"/>
                <w:sz w:val="24"/>
                <w:szCs w:val="24"/>
              </w:rPr>
              <w:t>（New Zealand）；The University of Auckland主办</w:t>
            </w:r>
          </w:p>
        </w:tc>
        <w:tc>
          <w:tcPr>
            <w:tcW w:w="849" w:type="dxa"/>
            <w:vAlign w:val="center"/>
          </w:tcPr>
          <w:p>
            <w:pPr>
              <w:spacing w:line="276" w:lineRule="auto"/>
              <w:rPr>
                <w:rFonts w:eastAsiaTheme="minorEastAsia"/>
                <w:sz w:val="24"/>
                <w:szCs w:val="24"/>
              </w:rPr>
            </w:pPr>
            <w:r>
              <w:rPr>
                <w:rFonts w:eastAsiaTheme="minorEastAsia"/>
                <w:sz w:val="24"/>
                <w:szCs w:val="24"/>
              </w:rPr>
              <w:t>2017</w:t>
            </w:r>
          </w:p>
        </w:tc>
        <w:tc>
          <w:tcPr>
            <w:tcW w:w="993" w:type="dxa"/>
            <w:vAlign w:val="center"/>
          </w:tcPr>
          <w:p>
            <w:pPr>
              <w:spacing w:line="276" w:lineRule="auto"/>
              <w:rPr>
                <w:rFonts w:eastAsiaTheme="minorEastAsia"/>
                <w:sz w:val="24"/>
                <w:szCs w:val="24"/>
              </w:rPr>
            </w:pPr>
            <w:r>
              <w:rPr>
                <w:rFonts w:eastAsiaTheme="minorEastAsia"/>
                <w:sz w:val="24"/>
                <w:szCs w:val="24"/>
              </w:rPr>
              <w:t>陈振锋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Ex>
        <w:trPr>
          <w:trHeight w:val="454" w:hRule="atLeast"/>
        </w:trPr>
        <w:tc>
          <w:tcPr>
            <w:tcW w:w="581" w:type="dxa"/>
            <w:vAlign w:val="center"/>
          </w:tcPr>
          <w:p>
            <w:pPr>
              <w:pStyle w:val="47"/>
              <w:numPr>
                <w:ilvl w:val="0"/>
                <w:numId w:val="2"/>
              </w:numPr>
              <w:spacing w:line="276" w:lineRule="auto"/>
              <w:ind w:right="-311" w:rightChars="-148" w:hanging="406" w:firstLineChars="0"/>
              <w:jc w:val="center"/>
              <w:rPr>
                <w:rFonts w:eastAsiaTheme="minorEastAsia"/>
                <w:sz w:val="24"/>
                <w:szCs w:val="24"/>
              </w:rPr>
            </w:pPr>
          </w:p>
        </w:tc>
        <w:tc>
          <w:tcPr>
            <w:tcW w:w="1007" w:type="dxa"/>
            <w:vAlign w:val="center"/>
          </w:tcPr>
          <w:p>
            <w:pPr>
              <w:spacing w:line="276" w:lineRule="auto"/>
              <w:jc w:val="center"/>
              <w:rPr>
                <w:rFonts w:eastAsiaTheme="minorEastAsia"/>
                <w:sz w:val="24"/>
                <w:szCs w:val="24"/>
              </w:rPr>
            </w:pPr>
            <w:r>
              <w:rPr>
                <w:rFonts w:eastAsiaTheme="minorEastAsia"/>
                <w:sz w:val="24"/>
                <w:szCs w:val="24"/>
              </w:rPr>
              <w:t>发表会议论文</w:t>
            </w:r>
          </w:p>
        </w:tc>
        <w:tc>
          <w:tcPr>
            <w:tcW w:w="1715" w:type="dxa"/>
            <w:vAlign w:val="center"/>
          </w:tcPr>
          <w:p>
            <w:pPr>
              <w:spacing w:line="276" w:lineRule="auto"/>
              <w:rPr>
                <w:rFonts w:eastAsiaTheme="minorEastAsia"/>
                <w:sz w:val="24"/>
                <w:szCs w:val="24"/>
              </w:rPr>
            </w:pPr>
            <w:r>
              <w:rPr>
                <w:rFonts w:eastAsiaTheme="minorEastAsia"/>
                <w:sz w:val="24"/>
                <w:szCs w:val="24"/>
              </w:rPr>
              <w:t>崔 勇 韦开及</w:t>
            </w:r>
          </w:p>
        </w:tc>
        <w:tc>
          <w:tcPr>
            <w:tcW w:w="3246" w:type="dxa"/>
            <w:vAlign w:val="center"/>
          </w:tcPr>
          <w:p>
            <w:pPr>
              <w:spacing w:line="276" w:lineRule="auto"/>
              <w:rPr>
                <w:rFonts w:eastAsiaTheme="minorEastAsia"/>
                <w:sz w:val="24"/>
                <w:szCs w:val="24"/>
              </w:rPr>
            </w:pPr>
            <w:r>
              <w:rPr>
                <w:rFonts w:eastAsiaTheme="minorEastAsia"/>
                <w:sz w:val="24"/>
                <w:szCs w:val="24"/>
              </w:rPr>
              <w:t>第五届国际微流控芯片与微纳尺度生物分离分析学术会议</w:t>
            </w:r>
            <w:bookmarkStart w:id="0" w:name="OLE_LINK4"/>
            <w:bookmarkStart w:id="1" w:name="OLE_LINK3"/>
            <w:r>
              <w:rPr>
                <w:rFonts w:eastAsiaTheme="minorEastAsia"/>
                <w:sz w:val="24"/>
                <w:szCs w:val="24"/>
              </w:rPr>
              <w:t>（兰州）；中国化学会主办</w:t>
            </w:r>
            <w:bookmarkEnd w:id="0"/>
            <w:bookmarkEnd w:id="1"/>
          </w:p>
        </w:tc>
        <w:tc>
          <w:tcPr>
            <w:tcW w:w="849" w:type="dxa"/>
            <w:vAlign w:val="center"/>
          </w:tcPr>
          <w:p>
            <w:pPr>
              <w:spacing w:line="276" w:lineRule="auto"/>
              <w:rPr>
                <w:rFonts w:eastAsiaTheme="minorEastAsia"/>
                <w:sz w:val="24"/>
                <w:szCs w:val="24"/>
              </w:rPr>
            </w:pPr>
            <w:r>
              <w:rPr>
                <w:rFonts w:eastAsiaTheme="minorEastAsia"/>
                <w:sz w:val="24"/>
                <w:szCs w:val="24"/>
              </w:rPr>
              <w:t>2016</w:t>
            </w:r>
          </w:p>
        </w:tc>
        <w:tc>
          <w:tcPr>
            <w:tcW w:w="993" w:type="dxa"/>
            <w:vAlign w:val="center"/>
          </w:tcPr>
          <w:p>
            <w:pPr>
              <w:spacing w:line="276" w:lineRule="auto"/>
              <w:rPr>
                <w:rFonts w:eastAsiaTheme="minorEastAsia"/>
                <w:sz w:val="24"/>
                <w:szCs w:val="24"/>
              </w:rPr>
            </w:pPr>
            <w:r>
              <w:rPr>
                <w:rFonts w:eastAsiaTheme="minorEastAsia"/>
                <w:sz w:val="24"/>
                <w:szCs w:val="24"/>
              </w:rPr>
              <w:t>赵书林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Ex>
        <w:trPr>
          <w:trHeight w:val="454" w:hRule="atLeast"/>
        </w:trPr>
        <w:tc>
          <w:tcPr>
            <w:tcW w:w="581" w:type="dxa"/>
            <w:vAlign w:val="center"/>
          </w:tcPr>
          <w:p>
            <w:pPr>
              <w:pStyle w:val="47"/>
              <w:numPr>
                <w:ilvl w:val="0"/>
                <w:numId w:val="2"/>
              </w:numPr>
              <w:spacing w:line="276" w:lineRule="auto"/>
              <w:ind w:right="-311" w:rightChars="-148" w:hanging="406" w:firstLineChars="0"/>
              <w:jc w:val="center"/>
              <w:rPr>
                <w:rFonts w:eastAsiaTheme="minorEastAsia"/>
                <w:sz w:val="24"/>
                <w:szCs w:val="24"/>
              </w:rPr>
            </w:pPr>
          </w:p>
        </w:tc>
        <w:tc>
          <w:tcPr>
            <w:tcW w:w="1007" w:type="dxa"/>
            <w:vAlign w:val="center"/>
          </w:tcPr>
          <w:p>
            <w:pPr>
              <w:spacing w:line="276" w:lineRule="auto"/>
              <w:jc w:val="center"/>
              <w:rPr>
                <w:rFonts w:eastAsiaTheme="minorEastAsia"/>
                <w:sz w:val="24"/>
                <w:szCs w:val="24"/>
              </w:rPr>
            </w:pPr>
            <w:r>
              <w:rPr>
                <w:rFonts w:eastAsiaTheme="minorEastAsia"/>
                <w:sz w:val="24"/>
                <w:szCs w:val="24"/>
              </w:rPr>
              <w:t>发表会议论文</w:t>
            </w:r>
          </w:p>
        </w:tc>
        <w:tc>
          <w:tcPr>
            <w:tcW w:w="1715" w:type="dxa"/>
            <w:vAlign w:val="center"/>
          </w:tcPr>
          <w:p>
            <w:pPr>
              <w:spacing w:line="276" w:lineRule="auto"/>
              <w:rPr>
                <w:rFonts w:eastAsiaTheme="minorEastAsia"/>
                <w:sz w:val="24"/>
                <w:szCs w:val="24"/>
              </w:rPr>
            </w:pPr>
            <w:r>
              <w:rPr>
                <w:rFonts w:eastAsiaTheme="minorEastAsia"/>
                <w:sz w:val="24"/>
                <w:szCs w:val="24"/>
              </w:rPr>
              <w:t>黎雪梅 吴雯倩</w:t>
            </w:r>
          </w:p>
        </w:tc>
        <w:tc>
          <w:tcPr>
            <w:tcW w:w="3246" w:type="dxa"/>
            <w:vAlign w:val="center"/>
          </w:tcPr>
          <w:p>
            <w:pPr>
              <w:spacing w:line="276" w:lineRule="auto"/>
              <w:rPr>
                <w:rFonts w:eastAsiaTheme="minorEastAsia"/>
                <w:sz w:val="24"/>
                <w:szCs w:val="24"/>
              </w:rPr>
            </w:pPr>
            <w:r>
              <w:rPr>
                <w:rFonts w:eastAsiaTheme="minorEastAsia"/>
                <w:sz w:val="24"/>
                <w:szCs w:val="24"/>
              </w:rPr>
              <w:t>第十七届亚太生物分离与分析国际会议；上海交通大学主办</w:t>
            </w:r>
          </w:p>
        </w:tc>
        <w:tc>
          <w:tcPr>
            <w:tcW w:w="849" w:type="dxa"/>
            <w:vAlign w:val="center"/>
          </w:tcPr>
          <w:p>
            <w:pPr>
              <w:spacing w:line="276" w:lineRule="auto"/>
              <w:rPr>
                <w:rFonts w:eastAsiaTheme="minorEastAsia"/>
                <w:sz w:val="24"/>
                <w:szCs w:val="24"/>
              </w:rPr>
            </w:pPr>
            <w:r>
              <w:rPr>
                <w:rFonts w:eastAsiaTheme="minorEastAsia"/>
                <w:sz w:val="24"/>
                <w:szCs w:val="24"/>
              </w:rPr>
              <w:t>2017</w:t>
            </w:r>
          </w:p>
        </w:tc>
        <w:tc>
          <w:tcPr>
            <w:tcW w:w="993" w:type="dxa"/>
            <w:vAlign w:val="center"/>
          </w:tcPr>
          <w:p>
            <w:pPr>
              <w:spacing w:line="276" w:lineRule="auto"/>
              <w:rPr>
                <w:rFonts w:eastAsiaTheme="minorEastAsia"/>
                <w:sz w:val="24"/>
                <w:szCs w:val="24"/>
              </w:rPr>
            </w:pPr>
            <w:r>
              <w:rPr>
                <w:rFonts w:eastAsiaTheme="minorEastAsia"/>
                <w:sz w:val="24"/>
                <w:szCs w:val="24"/>
              </w:rPr>
              <w:t>卢昕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Ex>
        <w:trPr>
          <w:trHeight w:val="454" w:hRule="atLeast"/>
        </w:trPr>
        <w:tc>
          <w:tcPr>
            <w:tcW w:w="581" w:type="dxa"/>
            <w:vAlign w:val="center"/>
          </w:tcPr>
          <w:p>
            <w:pPr>
              <w:pStyle w:val="47"/>
              <w:numPr>
                <w:ilvl w:val="0"/>
                <w:numId w:val="2"/>
              </w:numPr>
              <w:spacing w:line="276" w:lineRule="auto"/>
              <w:ind w:right="-311" w:rightChars="-148" w:hanging="406" w:firstLineChars="0"/>
              <w:jc w:val="center"/>
              <w:rPr>
                <w:rFonts w:eastAsiaTheme="minorEastAsia"/>
                <w:sz w:val="24"/>
                <w:szCs w:val="24"/>
              </w:rPr>
            </w:pPr>
          </w:p>
        </w:tc>
        <w:tc>
          <w:tcPr>
            <w:tcW w:w="1007" w:type="dxa"/>
            <w:vAlign w:val="center"/>
          </w:tcPr>
          <w:p>
            <w:pPr>
              <w:spacing w:line="276" w:lineRule="auto"/>
              <w:jc w:val="center"/>
              <w:rPr>
                <w:rFonts w:eastAsiaTheme="minorEastAsia"/>
                <w:sz w:val="24"/>
                <w:szCs w:val="24"/>
              </w:rPr>
            </w:pPr>
            <w:r>
              <w:rPr>
                <w:rFonts w:eastAsiaTheme="minorEastAsia"/>
                <w:sz w:val="24"/>
                <w:szCs w:val="24"/>
              </w:rPr>
              <w:t>发表会议论文</w:t>
            </w:r>
          </w:p>
        </w:tc>
        <w:tc>
          <w:tcPr>
            <w:tcW w:w="1715" w:type="dxa"/>
            <w:vAlign w:val="center"/>
          </w:tcPr>
          <w:p>
            <w:pPr>
              <w:spacing w:line="276" w:lineRule="auto"/>
              <w:rPr>
                <w:rFonts w:eastAsiaTheme="minorEastAsia"/>
                <w:sz w:val="24"/>
                <w:szCs w:val="24"/>
              </w:rPr>
            </w:pPr>
            <w:r>
              <w:rPr>
                <w:rFonts w:eastAsiaTheme="minorEastAsia"/>
                <w:sz w:val="24"/>
                <w:szCs w:val="24"/>
              </w:rPr>
              <w:t xml:space="preserve">莫祖煜 李芊妤 </w:t>
            </w:r>
          </w:p>
          <w:p>
            <w:pPr>
              <w:spacing w:line="276" w:lineRule="auto"/>
              <w:rPr>
                <w:rFonts w:eastAsiaTheme="minorEastAsia"/>
                <w:sz w:val="24"/>
                <w:szCs w:val="24"/>
              </w:rPr>
            </w:pPr>
            <w:r>
              <w:rPr>
                <w:rFonts w:eastAsiaTheme="minorEastAsia"/>
                <w:sz w:val="24"/>
                <w:szCs w:val="24"/>
              </w:rPr>
              <w:t xml:space="preserve">莫始坤 李文豪 </w:t>
            </w:r>
          </w:p>
          <w:p>
            <w:pPr>
              <w:spacing w:line="276" w:lineRule="auto"/>
              <w:rPr>
                <w:rFonts w:eastAsiaTheme="minorEastAsia"/>
                <w:sz w:val="24"/>
                <w:szCs w:val="24"/>
              </w:rPr>
            </w:pPr>
            <w:r>
              <w:rPr>
                <w:rFonts w:eastAsiaTheme="minorEastAsia"/>
                <w:sz w:val="24"/>
                <w:szCs w:val="24"/>
              </w:rPr>
              <w:t>王自强 王毛锐</w:t>
            </w:r>
          </w:p>
        </w:tc>
        <w:tc>
          <w:tcPr>
            <w:tcW w:w="3246" w:type="dxa"/>
            <w:vAlign w:val="center"/>
          </w:tcPr>
          <w:p>
            <w:pPr>
              <w:spacing w:line="276" w:lineRule="auto"/>
              <w:rPr>
                <w:rFonts w:eastAsiaTheme="minorEastAsia"/>
                <w:sz w:val="24"/>
                <w:szCs w:val="24"/>
              </w:rPr>
            </w:pPr>
            <w:r>
              <w:rPr>
                <w:rFonts w:eastAsiaTheme="minorEastAsia"/>
                <w:sz w:val="24"/>
                <w:szCs w:val="24"/>
              </w:rPr>
              <w:t>第七届岭南有机化学论坛暨第二届国际有机化学会议；广东省化学学会主办</w:t>
            </w:r>
          </w:p>
        </w:tc>
        <w:tc>
          <w:tcPr>
            <w:tcW w:w="849" w:type="dxa"/>
            <w:vAlign w:val="center"/>
          </w:tcPr>
          <w:p>
            <w:pPr>
              <w:spacing w:line="276" w:lineRule="auto"/>
              <w:rPr>
                <w:rFonts w:eastAsiaTheme="minorEastAsia"/>
                <w:sz w:val="24"/>
                <w:szCs w:val="24"/>
              </w:rPr>
            </w:pPr>
            <w:r>
              <w:rPr>
                <w:rFonts w:eastAsiaTheme="minorEastAsia"/>
                <w:sz w:val="24"/>
                <w:szCs w:val="24"/>
              </w:rPr>
              <w:t>2017</w:t>
            </w:r>
          </w:p>
        </w:tc>
        <w:tc>
          <w:tcPr>
            <w:tcW w:w="993" w:type="dxa"/>
            <w:vAlign w:val="center"/>
          </w:tcPr>
          <w:p>
            <w:pPr>
              <w:spacing w:line="276" w:lineRule="auto"/>
              <w:rPr>
                <w:rFonts w:eastAsiaTheme="minorEastAsia"/>
                <w:sz w:val="24"/>
                <w:szCs w:val="24"/>
              </w:rPr>
            </w:pPr>
            <w:r>
              <w:rPr>
                <w:rFonts w:eastAsiaTheme="minorEastAsia"/>
                <w:sz w:val="24"/>
                <w:szCs w:val="24"/>
              </w:rPr>
              <w:t>潘英明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Ex>
        <w:trPr>
          <w:trHeight w:val="454" w:hRule="atLeast"/>
        </w:trPr>
        <w:tc>
          <w:tcPr>
            <w:tcW w:w="581" w:type="dxa"/>
            <w:vAlign w:val="center"/>
          </w:tcPr>
          <w:p>
            <w:pPr>
              <w:pStyle w:val="47"/>
              <w:numPr>
                <w:ilvl w:val="0"/>
                <w:numId w:val="2"/>
              </w:numPr>
              <w:spacing w:line="276" w:lineRule="auto"/>
              <w:ind w:right="-311" w:rightChars="-148" w:hanging="406" w:firstLineChars="0"/>
              <w:jc w:val="center"/>
              <w:rPr>
                <w:rFonts w:eastAsiaTheme="minorEastAsia"/>
                <w:sz w:val="24"/>
                <w:szCs w:val="24"/>
              </w:rPr>
            </w:pPr>
          </w:p>
        </w:tc>
        <w:tc>
          <w:tcPr>
            <w:tcW w:w="1007" w:type="dxa"/>
            <w:vAlign w:val="center"/>
          </w:tcPr>
          <w:p>
            <w:pPr>
              <w:spacing w:line="276" w:lineRule="auto"/>
              <w:jc w:val="center"/>
              <w:rPr>
                <w:rFonts w:eastAsiaTheme="minorEastAsia"/>
                <w:sz w:val="24"/>
                <w:szCs w:val="24"/>
              </w:rPr>
            </w:pPr>
            <w:r>
              <w:rPr>
                <w:rFonts w:eastAsiaTheme="minorEastAsia"/>
                <w:sz w:val="24"/>
                <w:szCs w:val="24"/>
              </w:rPr>
              <w:t>发表会议论文</w:t>
            </w:r>
          </w:p>
        </w:tc>
        <w:tc>
          <w:tcPr>
            <w:tcW w:w="1715" w:type="dxa"/>
            <w:vAlign w:val="center"/>
          </w:tcPr>
          <w:p>
            <w:pPr>
              <w:spacing w:line="276" w:lineRule="auto"/>
              <w:rPr>
                <w:rFonts w:eastAsiaTheme="minorEastAsia"/>
                <w:sz w:val="24"/>
                <w:szCs w:val="24"/>
              </w:rPr>
            </w:pPr>
            <w:r>
              <w:rPr>
                <w:rFonts w:eastAsiaTheme="minorEastAsia"/>
                <w:sz w:val="24"/>
                <w:szCs w:val="24"/>
              </w:rPr>
              <w:t>郑会丽 王 杰</w:t>
            </w:r>
          </w:p>
        </w:tc>
        <w:tc>
          <w:tcPr>
            <w:tcW w:w="3246" w:type="dxa"/>
            <w:vAlign w:val="center"/>
          </w:tcPr>
          <w:p>
            <w:pPr>
              <w:spacing w:line="276" w:lineRule="auto"/>
              <w:rPr>
                <w:rFonts w:eastAsiaTheme="minorEastAsia"/>
                <w:sz w:val="24"/>
                <w:szCs w:val="24"/>
              </w:rPr>
            </w:pPr>
            <w:r>
              <w:rPr>
                <w:rFonts w:eastAsiaTheme="minorEastAsia"/>
                <w:sz w:val="24"/>
                <w:szCs w:val="24"/>
              </w:rPr>
              <w:t>ICCC2018；由IEEE和四川电子学会联合主办</w:t>
            </w:r>
          </w:p>
        </w:tc>
        <w:tc>
          <w:tcPr>
            <w:tcW w:w="849" w:type="dxa"/>
            <w:vAlign w:val="center"/>
          </w:tcPr>
          <w:p>
            <w:pPr>
              <w:spacing w:line="276" w:lineRule="auto"/>
              <w:rPr>
                <w:rFonts w:eastAsiaTheme="minorEastAsia"/>
                <w:sz w:val="24"/>
                <w:szCs w:val="24"/>
              </w:rPr>
            </w:pPr>
            <w:r>
              <w:rPr>
                <w:rFonts w:eastAsiaTheme="minorEastAsia"/>
                <w:sz w:val="24"/>
                <w:szCs w:val="24"/>
              </w:rPr>
              <w:t>2018</w:t>
            </w:r>
          </w:p>
        </w:tc>
        <w:tc>
          <w:tcPr>
            <w:tcW w:w="993" w:type="dxa"/>
            <w:vAlign w:val="center"/>
          </w:tcPr>
          <w:p>
            <w:pPr>
              <w:spacing w:line="276" w:lineRule="auto"/>
              <w:rPr>
                <w:rFonts w:eastAsiaTheme="minorEastAsia"/>
                <w:sz w:val="24"/>
                <w:szCs w:val="24"/>
              </w:rPr>
            </w:pPr>
            <w:r>
              <w:rPr>
                <w:rFonts w:eastAsiaTheme="minorEastAsia"/>
                <w:sz w:val="24"/>
                <w:szCs w:val="24"/>
              </w:rPr>
              <w:t>曾明华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Ex>
        <w:trPr>
          <w:trHeight w:val="454" w:hRule="atLeast"/>
        </w:trPr>
        <w:tc>
          <w:tcPr>
            <w:tcW w:w="581" w:type="dxa"/>
            <w:vAlign w:val="center"/>
          </w:tcPr>
          <w:p>
            <w:pPr>
              <w:pStyle w:val="47"/>
              <w:numPr>
                <w:ilvl w:val="0"/>
                <w:numId w:val="2"/>
              </w:numPr>
              <w:spacing w:line="276" w:lineRule="auto"/>
              <w:ind w:right="-311" w:rightChars="-148" w:hanging="406" w:firstLineChars="0"/>
              <w:jc w:val="center"/>
              <w:rPr>
                <w:rFonts w:eastAsiaTheme="minorEastAsia"/>
                <w:sz w:val="24"/>
                <w:szCs w:val="24"/>
              </w:rPr>
            </w:pPr>
          </w:p>
        </w:tc>
        <w:tc>
          <w:tcPr>
            <w:tcW w:w="1007" w:type="dxa"/>
            <w:vAlign w:val="center"/>
          </w:tcPr>
          <w:p>
            <w:pPr>
              <w:spacing w:line="276" w:lineRule="auto"/>
              <w:jc w:val="center"/>
              <w:rPr>
                <w:rFonts w:eastAsiaTheme="minorEastAsia"/>
                <w:sz w:val="24"/>
                <w:szCs w:val="24"/>
              </w:rPr>
            </w:pPr>
            <w:r>
              <w:rPr>
                <w:rFonts w:eastAsiaTheme="minorEastAsia"/>
                <w:sz w:val="24"/>
                <w:szCs w:val="24"/>
              </w:rPr>
              <w:t>发表会议论文</w:t>
            </w:r>
          </w:p>
        </w:tc>
        <w:tc>
          <w:tcPr>
            <w:tcW w:w="1715" w:type="dxa"/>
            <w:vAlign w:val="center"/>
          </w:tcPr>
          <w:p>
            <w:pPr>
              <w:spacing w:line="276" w:lineRule="auto"/>
              <w:rPr>
                <w:rFonts w:eastAsiaTheme="minorEastAsia"/>
                <w:sz w:val="24"/>
                <w:szCs w:val="24"/>
              </w:rPr>
            </w:pPr>
            <w:r>
              <w:rPr>
                <w:rFonts w:eastAsiaTheme="minorEastAsia"/>
                <w:sz w:val="24"/>
                <w:szCs w:val="24"/>
              </w:rPr>
              <w:t>杨啟源 卢 幸    申文英 廖兰珊  李 丽</w:t>
            </w:r>
          </w:p>
        </w:tc>
        <w:tc>
          <w:tcPr>
            <w:tcW w:w="3246" w:type="dxa"/>
            <w:vAlign w:val="center"/>
          </w:tcPr>
          <w:p>
            <w:pPr>
              <w:spacing w:line="276" w:lineRule="auto"/>
              <w:rPr>
                <w:rFonts w:eastAsiaTheme="minorEastAsia"/>
                <w:sz w:val="24"/>
                <w:szCs w:val="24"/>
              </w:rPr>
            </w:pPr>
            <w:r>
              <w:rPr>
                <w:rFonts w:eastAsiaTheme="minorEastAsia"/>
                <w:sz w:val="24"/>
                <w:szCs w:val="24"/>
              </w:rPr>
              <w:t>第11届世界华人药物化学研讨会；中国药学会药物化学专业委员会主办</w:t>
            </w:r>
          </w:p>
        </w:tc>
        <w:tc>
          <w:tcPr>
            <w:tcW w:w="849" w:type="dxa"/>
            <w:vAlign w:val="center"/>
          </w:tcPr>
          <w:p>
            <w:pPr>
              <w:spacing w:line="276" w:lineRule="auto"/>
              <w:rPr>
                <w:rFonts w:eastAsiaTheme="minorEastAsia"/>
                <w:sz w:val="24"/>
                <w:szCs w:val="24"/>
              </w:rPr>
            </w:pPr>
            <w:r>
              <w:rPr>
                <w:rFonts w:eastAsiaTheme="minorEastAsia"/>
                <w:sz w:val="24"/>
                <w:szCs w:val="24"/>
              </w:rPr>
              <w:t>2018</w:t>
            </w:r>
          </w:p>
        </w:tc>
        <w:tc>
          <w:tcPr>
            <w:tcW w:w="993" w:type="dxa"/>
            <w:vAlign w:val="center"/>
          </w:tcPr>
          <w:p>
            <w:pPr>
              <w:spacing w:line="276" w:lineRule="auto"/>
              <w:rPr>
                <w:rFonts w:eastAsiaTheme="minorEastAsia"/>
                <w:sz w:val="24"/>
                <w:szCs w:val="24"/>
              </w:rPr>
            </w:pPr>
            <w:r>
              <w:rPr>
                <w:rFonts w:eastAsiaTheme="minorEastAsia"/>
                <w:sz w:val="24"/>
                <w:szCs w:val="24"/>
              </w:rPr>
              <w:t>陈振锋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Ex>
        <w:trPr>
          <w:trHeight w:val="454" w:hRule="atLeast"/>
        </w:trPr>
        <w:tc>
          <w:tcPr>
            <w:tcW w:w="581" w:type="dxa"/>
            <w:vAlign w:val="center"/>
          </w:tcPr>
          <w:p>
            <w:pPr>
              <w:pStyle w:val="47"/>
              <w:numPr>
                <w:ilvl w:val="0"/>
                <w:numId w:val="2"/>
              </w:numPr>
              <w:spacing w:line="276" w:lineRule="auto"/>
              <w:ind w:right="-311" w:rightChars="-148" w:hanging="406" w:firstLineChars="0"/>
              <w:jc w:val="center"/>
              <w:rPr>
                <w:rFonts w:eastAsiaTheme="minorEastAsia"/>
                <w:sz w:val="24"/>
                <w:szCs w:val="24"/>
              </w:rPr>
            </w:pPr>
          </w:p>
        </w:tc>
        <w:tc>
          <w:tcPr>
            <w:tcW w:w="1007" w:type="dxa"/>
            <w:vAlign w:val="center"/>
          </w:tcPr>
          <w:p>
            <w:pPr>
              <w:spacing w:line="276" w:lineRule="auto"/>
              <w:jc w:val="center"/>
              <w:rPr>
                <w:rFonts w:eastAsiaTheme="minorEastAsia"/>
                <w:sz w:val="24"/>
                <w:szCs w:val="24"/>
              </w:rPr>
            </w:pPr>
            <w:r>
              <w:rPr>
                <w:rFonts w:eastAsiaTheme="minorEastAsia"/>
                <w:sz w:val="24"/>
                <w:szCs w:val="24"/>
              </w:rPr>
              <w:t>发表会议论文</w:t>
            </w:r>
          </w:p>
        </w:tc>
        <w:tc>
          <w:tcPr>
            <w:tcW w:w="1715" w:type="dxa"/>
            <w:vAlign w:val="center"/>
          </w:tcPr>
          <w:p>
            <w:pPr>
              <w:spacing w:line="276" w:lineRule="auto"/>
              <w:rPr>
                <w:rFonts w:eastAsiaTheme="minorEastAsia"/>
                <w:sz w:val="24"/>
                <w:szCs w:val="24"/>
              </w:rPr>
            </w:pPr>
            <w:r>
              <w:rPr>
                <w:rFonts w:eastAsiaTheme="minorEastAsia"/>
                <w:sz w:val="24"/>
                <w:szCs w:val="24"/>
              </w:rPr>
              <w:t>刘瑞雪 黎玉兰</w:t>
            </w:r>
          </w:p>
        </w:tc>
        <w:tc>
          <w:tcPr>
            <w:tcW w:w="3246" w:type="dxa"/>
            <w:vAlign w:val="center"/>
          </w:tcPr>
          <w:p>
            <w:pPr>
              <w:spacing w:line="276" w:lineRule="auto"/>
              <w:rPr>
                <w:rFonts w:eastAsiaTheme="minorEastAsia"/>
                <w:sz w:val="24"/>
                <w:szCs w:val="24"/>
              </w:rPr>
            </w:pPr>
            <w:r>
              <w:rPr>
                <w:rFonts w:eastAsiaTheme="minorEastAsia"/>
                <w:sz w:val="24"/>
                <w:szCs w:val="24"/>
              </w:rPr>
              <w:t>第11届世界华人药物化学研讨会；中国药学会药物化学专业委员会主办</w:t>
            </w:r>
          </w:p>
        </w:tc>
        <w:tc>
          <w:tcPr>
            <w:tcW w:w="849" w:type="dxa"/>
            <w:vAlign w:val="center"/>
          </w:tcPr>
          <w:p>
            <w:pPr>
              <w:spacing w:line="276" w:lineRule="auto"/>
              <w:rPr>
                <w:rFonts w:eastAsiaTheme="minorEastAsia"/>
                <w:sz w:val="24"/>
                <w:szCs w:val="24"/>
              </w:rPr>
            </w:pPr>
            <w:r>
              <w:rPr>
                <w:rFonts w:eastAsiaTheme="minorEastAsia"/>
                <w:sz w:val="24"/>
                <w:szCs w:val="24"/>
              </w:rPr>
              <w:t>2018</w:t>
            </w:r>
          </w:p>
        </w:tc>
        <w:tc>
          <w:tcPr>
            <w:tcW w:w="993" w:type="dxa"/>
            <w:vAlign w:val="center"/>
          </w:tcPr>
          <w:p>
            <w:pPr>
              <w:spacing w:line="276" w:lineRule="auto"/>
              <w:rPr>
                <w:rFonts w:eastAsiaTheme="minorEastAsia"/>
                <w:sz w:val="24"/>
                <w:szCs w:val="24"/>
              </w:rPr>
            </w:pPr>
            <w:r>
              <w:rPr>
                <w:rFonts w:eastAsiaTheme="minorEastAsia"/>
                <w:sz w:val="24"/>
                <w:szCs w:val="24"/>
              </w:rPr>
              <w:t>梁宏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Ex>
        <w:trPr>
          <w:trHeight w:val="454" w:hRule="atLeast"/>
        </w:trPr>
        <w:tc>
          <w:tcPr>
            <w:tcW w:w="581" w:type="dxa"/>
            <w:vAlign w:val="center"/>
          </w:tcPr>
          <w:p>
            <w:pPr>
              <w:pStyle w:val="47"/>
              <w:numPr>
                <w:ilvl w:val="0"/>
                <w:numId w:val="2"/>
              </w:numPr>
              <w:spacing w:line="276" w:lineRule="auto"/>
              <w:ind w:right="-311" w:rightChars="-148" w:hanging="406" w:firstLineChars="0"/>
              <w:jc w:val="center"/>
              <w:rPr>
                <w:rFonts w:eastAsiaTheme="minorEastAsia"/>
                <w:sz w:val="24"/>
                <w:szCs w:val="24"/>
              </w:rPr>
            </w:pPr>
          </w:p>
        </w:tc>
        <w:tc>
          <w:tcPr>
            <w:tcW w:w="1007" w:type="dxa"/>
            <w:vAlign w:val="center"/>
          </w:tcPr>
          <w:p>
            <w:pPr>
              <w:spacing w:line="276" w:lineRule="auto"/>
              <w:jc w:val="center"/>
              <w:rPr>
                <w:rFonts w:eastAsiaTheme="minorEastAsia"/>
                <w:sz w:val="24"/>
                <w:szCs w:val="24"/>
              </w:rPr>
            </w:pPr>
            <w:r>
              <w:rPr>
                <w:rFonts w:eastAsiaTheme="minorEastAsia"/>
                <w:sz w:val="24"/>
                <w:szCs w:val="24"/>
              </w:rPr>
              <w:t>其他</w:t>
            </w:r>
          </w:p>
        </w:tc>
        <w:tc>
          <w:tcPr>
            <w:tcW w:w="1715" w:type="dxa"/>
            <w:vAlign w:val="center"/>
          </w:tcPr>
          <w:p>
            <w:pPr>
              <w:spacing w:line="276" w:lineRule="auto"/>
              <w:rPr>
                <w:rFonts w:eastAsiaTheme="minorEastAsia"/>
                <w:sz w:val="24"/>
                <w:szCs w:val="24"/>
              </w:rPr>
            </w:pPr>
            <w:r>
              <w:rPr>
                <w:rFonts w:eastAsiaTheme="minorEastAsia"/>
                <w:sz w:val="24"/>
                <w:szCs w:val="24"/>
              </w:rPr>
              <w:t>黄玉凤 马惠娟  林丽云</w:t>
            </w:r>
          </w:p>
        </w:tc>
        <w:tc>
          <w:tcPr>
            <w:tcW w:w="3246" w:type="dxa"/>
            <w:vAlign w:val="center"/>
          </w:tcPr>
          <w:p>
            <w:pPr>
              <w:spacing w:line="276" w:lineRule="auto"/>
              <w:rPr>
                <w:rFonts w:eastAsiaTheme="minorEastAsia"/>
                <w:sz w:val="24"/>
                <w:szCs w:val="24"/>
              </w:rPr>
            </w:pPr>
            <w:r>
              <w:rPr>
                <w:rFonts w:eastAsiaTheme="minorEastAsia"/>
                <w:sz w:val="24"/>
                <w:szCs w:val="24"/>
              </w:rPr>
              <w:t>第七届生物分析、生物医学工程与纳米技术国际会议；湖南大学主办</w:t>
            </w:r>
          </w:p>
        </w:tc>
        <w:tc>
          <w:tcPr>
            <w:tcW w:w="849" w:type="dxa"/>
            <w:vAlign w:val="center"/>
          </w:tcPr>
          <w:p>
            <w:pPr>
              <w:spacing w:line="276" w:lineRule="auto"/>
              <w:rPr>
                <w:rFonts w:eastAsiaTheme="minorEastAsia"/>
                <w:sz w:val="24"/>
                <w:szCs w:val="24"/>
              </w:rPr>
            </w:pPr>
            <w:r>
              <w:rPr>
                <w:rFonts w:eastAsiaTheme="minorEastAsia"/>
                <w:sz w:val="24"/>
                <w:szCs w:val="24"/>
              </w:rPr>
              <w:t>2016</w:t>
            </w:r>
          </w:p>
        </w:tc>
        <w:tc>
          <w:tcPr>
            <w:tcW w:w="993" w:type="dxa"/>
            <w:vAlign w:val="center"/>
          </w:tcPr>
          <w:p>
            <w:pPr>
              <w:spacing w:line="276" w:lineRule="auto"/>
              <w:rPr>
                <w:rFonts w:eastAsiaTheme="minorEastAsia"/>
                <w:sz w:val="24"/>
                <w:szCs w:val="24"/>
              </w:rPr>
            </w:pPr>
            <w:r>
              <w:rPr>
                <w:rFonts w:eastAsiaTheme="minorEastAsia"/>
                <w:sz w:val="24"/>
                <w:szCs w:val="24"/>
              </w:rPr>
              <w:t>赵书林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Ex>
        <w:trPr>
          <w:trHeight w:val="454" w:hRule="atLeast"/>
        </w:trPr>
        <w:tc>
          <w:tcPr>
            <w:tcW w:w="581" w:type="dxa"/>
            <w:vAlign w:val="center"/>
          </w:tcPr>
          <w:p>
            <w:pPr>
              <w:pStyle w:val="47"/>
              <w:numPr>
                <w:ilvl w:val="0"/>
                <w:numId w:val="2"/>
              </w:numPr>
              <w:spacing w:line="276" w:lineRule="auto"/>
              <w:ind w:right="-311" w:rightChars="-148" w:hanging="406" w:firstLineChars="0"/>
              <w:jc w:val="center"/>
              <w:rPr>
                <w:rFonts w:eastAsiaTheme="minorEastAsia"/>
                <w:sz w:val="24"/>
                <w:szCs w:val="24"/>
              </w:rPr>
            </w:pPr>
          </w:p>
        </w:tc>
        <w:tc>
          <w:tcPr>
            <w:tcW w:w="1007" w:type="dxa"/>
            <w:vAlign w:val="center"/>
          </w:tcPr>
          <w:p>
            <w:pPr>
              <w:spacing w:line="276" w:lineRule="auto"/>
              <w:jc w:val="center"/>
              <w:rPr>
                <w:rFonts w:eastAsiaTheme="minorEastAsia"/>
                <w:sz w:val="24"/>
                <w:szCs w:val="24"/>
              </w:rPr>
            </w:pPr>
            <w:r>
              <w:rPr>
                <w:rFonts w:eastAsiaTheme="minorEastAsia"/>
                <w:sz w:val="24"/>
                <w:szCs w:val="24"/>
              </w:rPr>
              <w:t>其他</w:t>
            </w:r>
          </w:p>
        </w:tc>
        <w:tc>
          <w:tcPr>
            <w:tcW w:w="1715" w:type="dxa"/>
            <w:vAlign w:val="center"/>
          </w:tcPr>
          <w:p>
            <w:pPr>
              <w:spacing w:line="276" w:lineRule="auto"/>
              <w:rPr>
                <w:rFonts w:eastAsiaTheme="minorEastAsia"/>
                <w:sz w:val="24"/>
                <w:szCs w:val="24"/>
              </w:rPr>
            </w:pPr>
            <w:r>
              <w:rPr>
                <w:rFonts w:eastAsiaTheme="minorEastAsia"/>
                <w:sz w:val="24"/>
                <w:szCs w:val="24"/>
              </w:rPr>
              <w:t>张靖梓</w:t>
            </w:r>
          </w:p>
        </w:tc>
        <w:tc>
          <w:tcPr>
            <w:tcW w:w="3246" w:type="dxa"/>
            <w:vAlign w:val="center"/>
          </w:tcPr>
          <w:p>
            <w:pPr>
              <w:spacing w:line="276" w:lineRule="auto"/>
              <w:rPr>
                <w:rFonts w:eastAsiaTheme="minorEastAsia"/>
                <w:sz w:val="24"/>
                <w:szCs w:val="24"/>
              </w:rPr>
            </w:pPr>
            <w:r>
              <w:rPr>
                <w:rFonts w:eastAsiaTheme="minorEastAsia"/>
                <w:sz w:val="24"/>
                <w:szCs w:val="24"/>
              </w:rPr>
              <w:t>2017第十届国际树枝状大分子峰会；中国化学会主办</w:t>
            </w:r>
          </w:p>
        </w:tc>
        <w:tc>
          <w:tcPr>
            <w:tcW w:w="849" w:type="dxa"/>
            <w:vAlign w:val="center"/>
          </w:tcPr>
          <w:p>
            <w:pPr>
              <w:spacing w:line="276" w:lineRule="auto"/>
              <w:rPr>
                <w:rFonts w:eastAsiaTheme="minorEastAsia"/>
                <w:sz w:val="24"/>
                <w:szCs w:val="24"/>
              </w:rPr>
            </w:pPr>
            <w:r>
              <w:rPr>
                <w:rFonts w:eastAsiaTheme="minorEastAsia"/>
                <w:sz w:val="24"/>
                <w:szCs w:val="24"/>
              </w:rPr>
              <w:t>2017</w:t>
            </w:r>
          </w:p>
        </w:tc>
        <w:tc>
          <w:tcPr>
            <w:tcW w:w="993" w:type="dxa"/>
            <w:vAlign w:val="center"/>
          </w:tcPr>
          <w:p>
            <w:pPr>
              <w:spacing w:line="276" w:lineRule="auto"/>
              <w:rPr>
                <w:rFonts w:eastAsiaTheme="minorEastAsia"/>
                <w:sz w:val="24"/>
                <w:szCs w:val="24"/>
              </w:rPr>
            </w:pPr>
            <w:r>
              <w:rPr>
                <w:rFonts w:eastAsiaTheme="minorEastAsia"/>
                <w:sz w:val="24"/>
                <w:szCs w:val="24"/>
              </w:rPr>
              <w:t>纪仕辰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Ex>
        <w:trPr>
          <w:trHeight w:val="454" w:hRule="atLeast"/>
        </w:trPr>
        <w:tc>
          <w:tcPr>
            <w:tcW w:w="581" w:type="dxa"/>
            <w:vAlign w:val="center"/>
          </w:tcPr>
          <w:p>
            <w:pPr>
              <w:pStyle w:val="47"/>
              <w:numPr>
                <w:ilvl w:val="0"/>
                <w:numId w:val="2"/>
              </w:numPr>
              <w:spacing w:line="276" w:lineRule="auto"/>
              <w:ind w:right="-311" w:rightChars="-148" w:hanging="406" w:firstLineChars="0"/>
              <w:jc w:val="center"/>
              <w:rPr>
                <w:rFonts w:eastAsiaTheme="minorEastAsia"/>
                <w:sz w:val="24"/>
                <w:szCs w:val="24"/>
              </w:rPr>
            </w:pPr>
          </w:p>
        </w:tc>
        <w:tc>
          <w:tcPr>
            <w:tcW w:w="1007" w:type="dxa"/>
            <w:vAlign w:val="center"/>
          </w:tcPr>
          <w:p>
            <w:pPr>
              <w:spacing w:line="276" w:lineRule="auto"/>
              <w:jc w:val="center"/>
              <w:rPr>
                <w:rFonts w:eastAsiaTheme="minorEastAsia"/>
                <w:sz w:val="24"/>
                <w:szCs w:val="24"/>
              </w:rPr>
            </w:pPr>
            <w:r>
              <w:rPr>
                <w:rFonts w:eastAsiaTheme="minorEastAsia"/>
                <w:sz w:val="24"/>
                <w:szCs w:val="24"/>
              </w:rPr>
              <w:t>其他</w:t>
            </w:r>
          </w:p>
        </w:tc>
        <w:tc>
          <w:tcPr>
            <w:tcW w:w="1715" w:type="dxa"/>
            <w:vAlign w:val="center"/>
          </w:tcPr>
          <w:p>
            <w:pPr>
              <w:spacing w:line="276" w:lineRule="auto"/>
              <w:rPr>
                <w:rFonts w:eastAsiaTheme="minorEastAsia"/>
                <w:sz w:val="24"/>
                <w:szCs w:val="24"/>
              </w:rPr>
            </w:pPr>
            <w:r>
              <w:rPr>
                <w:rFonts w:eastAsiaTheme="minorEastAsia"/>
                <w:sz w:val="24"/>
                <w:szCs w:val="24"/>
              </w:rPr>
              <w:t>韦辛未、袁静梅</w:t>
            </w:r>
          </w:p>
        </w:tc>
        <w:tc>
          <w:tcPr>
            <w:tcW w:w="3246" w:type="dxa"/>
            <w:vAlign w:val="center"/>
          </w:tcPr>
          <w:p>
            <w:pPr>
              <w:spacing w:line="276" w:lineRule="auto"/>
              <w:rPr>
                <w:rFonts w:eastAsiaTheme="minorEastAsia"/>
                <w:sz w:val="24"/>
                <w:szCs w:val="24"/>
              </w:rPr>
            </w:pPr>
            <w:r>
              <w:rPr>
                <w:rFonts w:eastAsiaTheme="minorEastAsia"/>
                <w:sz w:val="24"/>
                <w:szCs w:val="24"/>
              </w:rPr>
              <w:t>第11届世界华人药物化学研讨会；中国药学会药物化学专业委员会主办</w:t>
            </w:r>
          </w:p>
        </w:tc>
        <w:tc>
          <w:tcPr>
            <w:tcW w:w="849" w:type="dxa"/>
            <w:vAlign w:val="center"/>
          </w:tcPr>
          <w:p>
            <w:pPr>
              <w:spacing w:line="276" w:lineRule="auto"/>
              <w:rPr>
                <w:rFonts w:eastAsiaTheme="minorEastAsia"/>
                <w:sz w:val="24"/>
                <w:szCs w:val="24"/>
              </w:rPr>
            </w:pPr>
            <w:r>
              <w:rPr>
                <w:rFonts w:eastAsiaTheme="minorEastAsia"/>
                <w:sz w:val="24"/>
                <w:szCs w:val="24"/>
              </w:rPr>
              <w:t>2018</w:t>
            </w:r>
          </w:p>
        </w:tc>
        <w:tc>
          <w:tcPr>
            <w:tcW w:w="993" w:type="dxa"/>
            <w:vAlign w:val="center"/>
          </w:tcPr>
          <w:p>
            <w:pPr>
              <w:spacing w:line="276" w:lineRule="auto"/>
              <w:rPr>
                <w:rFonts w:eastAsiaTheme="minorEastAsia"/>
                <w:sz w:val="24"/>
                <w:szCs w:val="24"/>
              </w:rPr>
            </w:pPr>
            <w:r>
              <w:rPr>
                <w:rFonts w:eastAsiaTheme="minorEastAsia"/>
                <w:sz w:val="24"/>
                <w:szCs w:val="24"/>
              </w:rPr>
              <w:t>苏桂发</w:t>
            </w:r>
          </w:p>
        </w:tc>
      </w:tr>
    </w:tbl>
    <w:p>
      <w:pPr>
        <w:adjustRightInd w:val="0"/>
        <w:snapToGrid w:val="0"/>
        <w:ind w:firstLine="420" w:firstLineChars="200"/>
        <w:rPr>
          <w:rFonts w:eastAsia="楷体_GB2312"/>
          <w:szCs w:val="24"/>
        </w:rPr>
      </w:pPr>
    </w:p>
    <w:p>
      <w:pPr>
        <w:adjustRightInd w:val="0"/>
        <w:snapToGrid w:val="0"/>
        <w:ind w:firstLine="420" w:firstLineChars="200"/>
        <w:rPr>
          <w:rFonts w:eastAsia="黑体"/>
          <w:b/>
          <w:szCs w:val="24"/>
        </w:rPr>
      </w:pPr>
      <w:r>
        <w:rPr>
          <w:rFonts w:eastAsia="楷体_GB2312"/>
          <w:szCs w:val="24"/>
        </w:rPr>
        <w:t>注：请依次以参加会议形式为大会发言、口头报告、发表会议论文、其他为序分别填报。</w:t>
      </w:r>
      <w:r>
        <w:rPr>
          <w:rFonts w:eastAsia="黑体"/>
          <w:b/>
          <w:szCs w:val="24"/>
        </w:rPr>
        <w:t>所有研究生的导师必须是实验室固定研究人。</w:t>
      </w:r>
    </w:p>
    <w:p>
      <w:pPr>
        <w:adjustRightInd w:val="0"/>
        <w:snapToGrid w:val="0"/>
        <w:rPr>
          <w:rFonts w:eastAsia="黑体"/>
          <w:b/>
          <w:szCs w:val="24"/>
        </w:rPr>
      </w:pPr>
    </w:p>
    <w:p>
      <w:pPr>
        <w:adjustRightInd w:val="0"/>
        <w:snapToGrid w:val="0"/>
        <w:ind w:firstLine="643" w:firstLineChars="200"/>
        <w:rPr>
          <w:rFonts w:eastAsia="黑体"/>
          <w:b/>
          <w:sz w:val="32"/>
          <w:szCs w:val="24"/>
        </w:rPr>
      </w:pPr>
      <w:r>
        <w:rPr>
          <w:rFonts w:eastAsia="黑体"/>
          <w:b/>
          <w:sz w:val="32"/>
          <w:szCs w:val="24"/>
        </w:rPr>
        <w:br w:type="page"/>
      </w:r>
      <w:r>
        <w:rPr>
          <w:rFonts w:eastAsia="黑体"/>
          <w:b/>
          <w:sz w:val="32"/>
          <w:szCs w:val="24"/>
        </w:rPr>
        <w:t>五、开放交流与运行管理</w:t>
      </w:r>
    </w:p>
    <w:p>
      <w:pPr>
        <w:adjustRightInd w:val="0"/>
        <w:snapToGrid w:val="0"/>
        <w:rPr>
          <w:rFonts w:eastAsia="黑体"/>
          <w:sz w:val="28"/>
          <w:szCs w:val="24"/>
        </w:rPr>
      </w:pPr>
    </w:p>
    <w:p>
      <w:pPr>
        <w:adjustRightInd w:val="0"/>
        <w:snapToGrid w:val="0"/>
        <w:spacing w:line="360" w:lineRule="auto"/>
        <w:ind w:firstLine="562" w:firstLineChars="200"/>
        <w:rPr>
          <w:rFonts w:eastAsia="黑体"/>
          <w:b/>
          <w:sz w:val="28"/>
          <w:szCs w:val="24"/>
        </w:rPr>
      </w:pPr>
      <w:r>
        <w:rPr>
          <w:rFonts w:eastAsia="黑体"/>
          <w:b/>
          <w:sz w:val="28"/>
          <w:szCs w:val="24"/>
        </w:rPr>
        <w:t>1、开放交流</w:t>
      </w:r>
    </w:p>
    <w:p>
      <w:pPr>
        <w:adjustRightInd w:val="0"/>
        <w:snapToGrid w:val="0"/>
        <w:spacing w:line="360" w:lineRule="auto"/>
        <w:ind w:firstLine="482" w:firstLineChars="200"/>
        <w:rPr>
          <w:rFonts w:eastAsia="黑体"/>
          <w:b/>
          <w:bCs/>
          <w:sz w:val="24"/>
          <w:szCs w:val="24"/>
        </w:rPr>
      </w:pPr>
      <w:r>
        <w:rPr>
          <w:rFonts w:eastAsia="黑体"/>
          <w:b/>
          <w:bCs/>
          <w:sz w:val="24"/>
          <w:szCs w:val="24"/>
        </w:rPr>
        <w:t>（1）开放课题设置情况</w:t>
      </w:r>
    </w:p>
    <w:tbl>
      <w:tblPr>
        <w:tblStyle w:val="15"/>
        <w:tblW w:w="83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4" w:hRule="atLeast"/>
          <w:jc w:val="center"/>
        </w:trPr>
        <w:tc>
          <w:tcPr>
            <w:tcW w:w="8302" w:type="dxa"/>
          </w:tcPr>
          <w:p>
            <w:pPr>
              <w:adjustRightInd w:val="0"/>
              <w:snapToGrid w:val="0"/>
              <w:ind w:firstLine="480" w:firstLineChars="200"/>
              <w:jc w:val="left"/>
              <w:rPr>
                <w:rFonts w:eastAsia="楷体_GB2312"/>
                <w:sz w:val="24"/>
                <w:szCs w:val="24"/>
              </w:rPr>
            </w:pPr>
            <w:r>
              <w:rPr>
                <w:rFonts w:eastAsia="楷体_GB2312"/>
                <w:sz w:val="24"/>
                <w:szCs w:val="24"/>
              </w:rPr>
              <w:t>简述实验室在评估期内设置开放课题、主任基金概况。（600字以内）</w:t>
            </w:r>
          </w:p>
          <w:p>
            <w:pPr>
              <w:adjustRightInd w:val="0"/>
              <w:snapToGrid w:val="0"/>
              <w:ind w:firstLine="480" w:firstLineChars="200"/>
              <w:jc w:val="left"/>
              <w:rPr>
                <w:rFonts w:eastAsia="楷体_GB2312"/>
                <w:sz w:val="24"/>
                <w:szCs w:val="24"/>
              </w:rPr>
            </w:pPr>
          </w:p>
          <w:p>
            <w:pPr>
              <w:adjustRightInd w:val="0"/>
              <w:snapToGrid w:val="0"/>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重点实验室自2007年被教育部批准为教育部重点实验室以来，为鼓励实验室药学方向的发展，设立“实验室主任基金”，现改名为“实验室自主研究性课题”。2014年-2018年，实验室围绕三个研究方向，共设立了《基于蛋白结构研究新型抗肿瘤无机药物和载药体系》等45项系统性研究课题，资助经费共计995万。</w:t>
            </w:r>
          </w:p>
          <w:p>
            <w:pPr>
              <w:adjustRightInd w:val="0"/>
              <w:snapToGrid w:val="0"/>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为加强与国内有关单位合作与交流，设立了对外开放课题，实验室自2007年起开始设立重点实验室开放基金，对相关兄弟院校、科研院研和制药企开放。2014年-2018年，实验室围绕三个研究方向设立了《杨桃根苯醌类化合物（DMDD）对糖尿病合并AD症ApoE基因多态性表达的机制研究》等开放课题共77项，资助经费共计372万元。课题承担单位有清华大学、复旦大学、南京大学等985高校；上海药物研究所、昆明植物研究所等国内知名科研院所；广西医科大学、桂林医学院、桂林三金药业、桂林天和药业等广西区内高校和著名医药企业。通过开放课题的设立，起到了开放、合作、流动、交流的作用。</w:t>
            </w:r>
          </w:p>
          <w:p>
            <w:pPr>
              <w:adjustRightInd w:val="0"/>
              <w:snapToGrid w:val="0"/>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其中，通过开放课题的设置与合作，产出较好成效的有：承担2015年开放课题的沈阳药科大学李达翃教师以灯盏乙素为底物设计并合成一系列酰胺类衍生物40余个，在</w:t>
            </w:r>
            <w:r>
              <w:rPr>
                <w:rFonts w:hint="eastAsia" w:asciiTheme="minorEastAsia" w:hAnsiTheme="minorEastAsia" w:eastAsiaTheme="minorEastAsia"/>
                <w:i/>
                <w:sz w:val="24"/>
                <w:szCs w:val="24"/>
              </w:rPr>
              <w:t>Eur. J. Med. Chem., Bioorg. Med. Chem.</w:t>
            </w:r>
            <w:r>
              <w:rPr>
                <w:rFonts w:hint="eastAsia" w:asciiTheme="minorEastAsia" w:hAnsiTheme="minorEastAsia" w:eastAsiaTheme="minorEastAsia"/>
                <w:sz w:val="24"/>
                <w:szCs w:val="24"/>
              </w:rPr>
              <w:t>等期刊发表SCI论文6篇；承担2014年开放课题的东南大学刘超从鬼羽箭分离得到32个单体化合物并开展了相关的活性试验，在</w:t>
            </w:r>
            <w:r>
              <w:rPr>
                <w:rFonts w:hint="eastAsia" w:asciiTheme="minorEastAsia" w:hAnsiTheme="minorEastAsia" w:eastAsiaTheme="minorEastAsia"/>
                <w:i/>
                <w:sz w:val="24"/>
                <w:szCs w:val="24"/>
              </w:rPr>
              <w:t>Nat. Prod. Commun., Chem. Biodivers.</w:t>
            </w:r>
            <w:r>
              <w:rPr>
                <w:rFonts w:hint="eastAsia" w:asciiTheme="minorEastAsia" w:hAnsiTheme="minorEastAsia" w:eastAsiaTheme="minorEastAsia"/>
                <w:sz w:val="24"/>
                <w:szCs w:val="24"/>
              </w:rPr>
              <w:t>等发表SCI论文5篇。</w:t>
            </w:r>
          </w:p>
          <w:p>
            <w:pPr>
              <w:adjustRightInd w:val="0"/>
              <w:snapToGrid w:val="0"/>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此外，为加强国际合作与交流，实验室自2017年起开始设置国际合作开放课题，目前已设立了国际合作开放课题2项，经费共计20万元。</w:t>
            </w:r>
          </w:p>
          <w:p>
            <w:pPr>
              <w:adjustRightInd w:val="0"/>
              <w:snapToGrid w:val="0"/>
              <w:spacing w:line="360" w:lineRule="auto"/>
              <w:ind w:firstLine="480" w:firstLineChars="200"/>
              <w:rPr>
                <w:rFonts w:asciiTheme="minorEastAsia" w:hAnsiTheme="minorEastAsia" w:eastAsiaTheme="minorEastAsia"/>
                <w:sz w:val="24"/>
                <w:szCs w:val="24"/>
              </w:rPr>
            </w:pPr>
          </w:p>
          <w:p>
            <w:pPr>
              <w:adjustRightInd w:val="0"/>
              <w:snapToGrid w:val="0"/>
              <w:spacing w:line="360" w:lineRule="auto"/>
              <w:ind w:firstLine="480" w:firstLineChars="200"/>
              <w:rPr>
                <w:rFonts w:asciiTheme="minorEastAsia" w:hAnsiTheme="minorEastAsia" w:eastAsiaTheme="minorEastAsia"/>
                <w:sz w:val="24"/>
                <w:szCs w:val="24"/>
              </w:rPr>
            </w:pPr>
          </w:p>
          <w:p>
            <w:pPr>
              <w:adjustRightInd w:val="0"/>
              <w:snapToGrid w:val="0"/>
              <w:ind w:firstLine="562" w:firstLineChars="200"/>
              <w:jc w:val="left"/>
              <w:rPr>
                <w:rFonts w:eastAsia="黑体"/>
                <w:b/>
                <w:sz w:val="28"/>
                <w:szCs w:val="24"/>
              </w:rPr>
            </w:pPr>
          </w:p>
        </w:tc>
      </w:tr>
    </w:tbl>
    <w:p>
      <w:pPr>
        <w:adjustRightInd w:val="0"/>
        <w:snapToGrid w:val="0"/>
        <w:spacing w:line="360" w:lineRule="auto"/>
        <w:rPr>
          <w:rFonts w:eastAsia="楷体_GB2312"/>
          <w:sz w:val="24"/>
          <w:szCs w:val="24"/>
        </w:rPr>
      </w:pPr>
    </w:p>
    <w:p>
      <w:pPr>
        <w:adjustRightInd w:val="0"/>
        <w:snapToGrid w:val="0"/>
        <w:spacing w:line="360" w:lineRule="auto"/>
        <w:ind w:firstLine="482" w:firstLineChars="200"/>
        <w:rPr>
          <w:rFonts w:eastAsia="黑体"/>
          <w:b/>
          <w:sz w:val="24"/>
          <w:szCs w:val="24"/>
        </w:rPr>
      </w:pPr>
      <w:r>
        <w:rPr>
          <w:rFonts w:eastAsia="黑体"/>
          <w:b/>
          <w:sz w:val="24"/>
          <w:szCs w:val="24"/>
        </w:rPr>
        <w:t>（2）主办或承办大型学术会议情况</w:t>
      </w:r>
    </w:p>
    <w:tbl>
      <w:tblPr>
        <w:tblStyle w:val="15"/>
        <w:tblW w:w="8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
      <w:tblGrid>
        <w:gridCol w:w="565"/>
        <w:gridCol w:w="2015"/>
        <w:gridCol w:w="2551"/>
        <w:gridCol w:w="707"/>
        <w:gridCol w:w="1136"/>
        <w:gridCol w:w="70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565" w:type="dxa"/>
            <w:vAlign w:val="center"/>
          </w:tcPr>
          <w:p>
            <w:pPr>
              <w:adjustRightInd w:val="0"/>
              <w:snapToGrid w:val="0"/>
              <w:spacing w:line="310" w:lineRule="exact"/>
              <w:jc w:val="center"/>
              <w:rPr>
                <w:rFonts w:eastAsiaTheme="minorEastAsia"/>
                <w:b/>
                <w:szCs w:val="21"/>
              </w:rPr>
            </w:pPr>
            <w:r>
              <w:rPr>
                <w:rFonts w:eastAsiaTheme="minorEastAsia"/>
                <w:b/>
                <w:szCs w:val="21"/>
              </w:rPr>
              <w:t>序号</w:t>
            </w:r>
          </w:p>
        </w:tc>
        <w:tc>
          <w:tcPr>
            <w:tcW w:w="2015" w:type="dxa"/>
            <w:vAlign w:val="center"/>
          </w:tcPr>
          <w:p>
            <w:pPr>
              <w:adjustRightInd w:val="0"/>
              <w:snapToGrid w:val="0"/>
              <w:spacing w:line="310" w:lineRule="exact"/>
              <w:jc w:val="center"/>
              <w:rPr>
                <w:rFonts w:eastAsiaTheme="minorEastAsia"/>
                <w:b/>
                <w:szCs w:val="21"/>
              </w:rPr>
            </w:pPr>
            <w:r>
              <w:rPr>
                <w:rFonts w:eastAsiaTheme="minorEastAsia"/>
                <w:b/>
                <w:szCs w:val="21"/>
              </w:rPr>
              <w:t>会议名称</w:t>
            </w:r>
          </w:p>
        </w:tc>
        <w:tc>
          <w:tcPr>
            <w:tcW w:w="2551" w:type="dxa"/>
            <w:vAlign w:val="center"/>
          </w:tcPr>
          <w:p>
            <w:pPr>
              <w:adjustRightInd w:val="0"/>
              <w:snapToGrid w:val="0"/>
              <w:spacing w:line="310" w:lineRule="exact"/>
              <w:jc w:val="center"/>
              <w:rPr>
                <w:rFonts w:eastAsiaTheme="minorEastAsia"/>
                <w:b/>
                <w:szCs w:val="21"/>
              </w:rPr>
            </w:pPr>
            <w:r>
              <w:rPr>
                <w:rFonts w:eastAsiaTheme="minorEastAsia"/>
                <w:b/>
                <w:szCs w:val="21"/>
              </w:rPr>
              <w:t>主办单位名称</w:t>
            </w:r>
          </w:p>
        </w:tc>
        <w:tc>
          <w:tcPr>
            <w:tcW w:w="707" w:type="dxa"/>
            <w:vAlign w:val="center"/>
          </w:tcPr>
          <w:p>
            <w:pPr>
              <w:adjustRightInd w:val="0"/>
              <w:snapToGrid w:val="0"/>
              <w:spacing w:line="310" w:lineRule="exact"/>
              <w:jc w:val="center"/>
              <w:rPr>
                <w:rFonts w:eastAsiaTheme="minorEastAsia"/>
                <w:b/>
                <w:szCs w:val="21"/>
              </w:rPr>
            </w:pPr>
            <w:r>
              <w:rPr>
                <w:rFonts w:eastAsiaTheme="minorEastAsia"/>
                <w:b/>
                <w:szCs w:val="21"/>
              </w:rPr>
              <w:t>会议</w:t>
            </w:r>
          </w:p>
          <w:p>
            <w:pPr>
              <w:adjustRightInd w:val="0"/>
              <w:snapToGrid w:val="0"/>
              <w:spacing w:line="310" w:lineRule="exact"/>
              <w:jc w:val="center"/>
              <w:rPr>
                <w:rFonts w:eastAsiaTheme="minorEastAsia"/>
                <w:b/>
                <w:szCs w:val="21"/>
              </w:rPr>
            </w:pPr>
            <w:r>
              <w:rPr>
                <w:rFonts w:eastAsiaTheme="minorEastAsia"/>
                <w:b/>
                <w:szCs w:val="21"/>
              </w:rPr>
              <w:t>主席</w:t>
            </w:r>
          </w:p>
        </w:tc>
        <w:tc>
          <w:tcPr>
            <w:tcW w:w="1136" w:type="dxa"/>
            <w:vAlign w:val="center"/>
          </w:tcPr>
          <w:p>
            <w:pPr>
              <w:adjustRightInd w:val="0"/>
              <w:snapToGrid w:val="0"/>
              <w:spacing w:line="310" w:lineRule="exact"/>
              <w:jc w:val="center"/>
              <w:rPr>
                <w:rFonts w:eastAsiaTheme="minorEastAsia"/>
                <w:b/>
                <w:szCs w:val="21"/>
              </w:rPr>
            </w:pPr>
            <w:r>
              <w:rPr>
                <w:rFonts w:eastAsiaTheme="minorEastAsia"/>
                <w:b/>
                <w:szCs w:val="21"/>
              </w:rPr>
              <w:t>召开时间</w:t>
            </w:r>
          </w:p>
        </w:tc>
        <w:tc>
          <w:tcPr>
            <w:tcW w:w="709" w:type="dxa"/>
            <w:vAlign w:val="center"/>
          </w:tcPr>
          <w:p>
            <w:pPr>
              <w:adjustRightInd w:val="0"/>
              <w:snapToGrid w:val="0"/>
              <w:spacing w:line="310" w:lineRule="exact"/>
              <w:jc w:val="center"/>
              <w:rPr>
                <w:rFonts w:eastAsiaTheme="minorEastAsia"/>
                <w:b/>
                <w:szCs w:val="21"/>
              </w:rPr>
            </w:pPr>
            <w:r>
              <w:rPr>
                <w:rFonts w:eastAsiaTheme="minorEastAsia"/>
                <w:b/>
                <w:szCs w:val="21"/>
              </w:rPr>
              <w:t>参加人数</w:t>
            </w:r>
          </w:p>
        </w:tc>
        <w:tc>
          <w:tcPr>
            <w:tcW w:w="850" w:type="dxa"/>
            <w:vAlign w:val="center"/>
          </w:tcPr>
          <w:p>
            <w:pPr>
              <w:adjustRightInd w:val="0"/>
              <w:snapToGrid w:val="0"/>
              <w:spacing w:line="310" w:lineRule="exact"/>
              <w:jc w:val="center"/>
              <w:rPr>
                <w:rFonts w:eastAsiaTheme="minorEastAsia"/>
                <w:b/>
                <w:szCs w:val="21"/>
              </w:rPr>
            </w:pPr>
            <w:r>
              <w:rPr>
                <w:rFonts w:eastAsiaTheme="minorEastAsia"/>
                <w:b/>
                <w:szCs w:val="21"/>
              </w:rPr>
              <w:t>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565" w:type="dxa"/>
            <w:vAlign w:val="center"/>
          </w:tcPr>
          <w:p>
            <w:pPr>
              <w:pStyle w:val="47"/>
              <w:numPr>
                <w:ilvl w:val="0"/>
                <w:numId w:val="3"/>
              </w:numPr>
              <w:adjustRightInd w:val="0"/>
              <w:snapToGrid w:val="0"/>
              <w:spacing w:line="310" w:lineRule="exact"/>
              <w:ind w:right="-313" w:rightChars="-149" w:firstLineChars="0"/>
              <w:jc w:val="center"/>
              <w:rPr>
                <w:rFonts w:eastAsiaTheme="minorEastAsia"/>
                <w:szCs w:val="21"/>
              </w:rPr>
            </w:pPr>
          </w:p>
        </w:tc>
        <w:tc>
          <w:tcPr>
            <w:tcW w:w="2015" w:type="dxa"/>
            <w:vAlign w:val="center"/>
          </w:tcPr>
          <w:p>
            <w:pPr>
              <w:adjustRightInd w:val="0"/>
              <w:snapToGrid w:val="0"/>
              <w:spacing w:line="310" w:lineRule="exact"/>
              <w:rPr>
                <w:rFonts w:eastAsiaTheme="minorEastAsia"/>
                <w:szCs w:val="21"/>
              </w:rPr>
            </w:pPr>
            <w:r>
              <w:rPr>
                <w:rFonts w:eastAsiaTheme="minorEastAsia"/>
                <w:szCs w:val="21"/>
              </w:rPr>
              <w:t>第十七届国际生物无机化学大会卫星会议—国际药物无机化学研讨会</w:t>
            </w:r>
          </w:p>
        </w:tc>
        <w:tc>
          <w:tcPr>
            <w:tcW w:w="2551" w:type="dxa"/>
            <w:vAlign w:val="center"/>
          </w:tcPr>
          <w:p>
            <w:pPr>
              <w:adjustRightInd w:val="0"/>
              <w:snapToGrid w:val="0"/>
              <w:spacing w:line="310" w:lineRule="exact"/>
              <w:rPr>
                <w:rFonts w:eastAsiaTheme="minorEastAsia"/>
                <w:szCs w:val="21"/>
              </w:rPr>
            </w:pPr>
            <w:r>
              <w:rPr>
                <w:rFonts w:hint="eastAsia" w:eastAsiaTheme="minorEastAsia"/>
                <w:szCs w:val="21"/>
              </w:rPr>
              <w:t>主办：</w:t>
            </w:r>
            <w:r>
              <w:rPr>
                <w:rFonts w:eastAsiaTheme="minorEastAsia"/>
                <w:szCs w:val="21"/>
              </w:rPr>
              <w:t>药用资源化学与药物分子工程重点实验室</w:t>
            </w:r>
          </w:p>
        </w:tc>
        <w:tc>
          <w:tcPr>
            <w:tcW w:w="707" w:type="dxa"/>
            <w:vAlign w:val="center"/>
          </w:tcPr>
          <w:p>
            <w:pPr>
              <w:adjustRightInd w:val="0"/>
              <w:snapToGrid w:val="0"/>
              <w:spacing w:line="310" w:lineRule="exact"/>
              <w:rPr>
                <w:rFonts w:eastAsiaTheme="minorEastAsia"/>
                <w:szCs w:val="21"/>
              </w:rPr>
            </w:pPr>
            <w:r>
              <w:rPr>
                <w:rFonts w:eastAsiaTheme="minorEastAsia"/>
                <w:szCs w:val="21"/>
              </w:rPr>
              <w:t>梁宏</w:t>
            </w:r>
          </w:p>
        </w:tc>
        <w:tc>
          <w:tcPr>
            <w:tcW w:w="1136" w:type="dxa"/>
            <w:vAlign w:val="center"/>
          </w:tcPr>
          <w:p>
            <w:pPr>
              <w:adjustRightInd w:val="0"/>
              <w:snapToGrid w:val="0"/>
              <w:spacing w:line="310" w:lineRule="exact"/>
              <w:rPr>
                <w:rFonts w:eastAsiaTheme="minorEastAsia"/>
                <w:szCs w:val="21"/>
              </w:rPr>
            </w:pPr>
            <w:r>
              <w:rPr>
                <w:rFonts w:eastAsiaTheme="minorEastAsia"/>
                <w:szCs w:val="21"/>
              </w:rPr>
              <w:t>2015年7月17-19日</w:t>
            </w:r>
          </w:p>
        </w:tc>
        <w:tc>
          <w:tcPr>
            <w:tcW w:w="709" w:type="dxa"/>
            <w:vAlign w:val="center"/>
          </w:tcPr>
          <w:p>
            <w:pPr>
              <w:adjustRightInd w:val="0"/>
              <w:snapToGrid w:val="0"/>
              <w:spacing w:line="310" w:lineRule="exact"/>
              <w:rPr>
                <w:rFonts w:eastAsiaTheme="minorEastAsia"/>
                <w:szCs w:val="21"/>
              </w:rPr>
            </w:pPr>
            <w:r>
              <w:rPr>
                <w:rFonts w:eastAsiaTheme="minorEastAsia"/>
                <w:szCs w:val="21"/>
              </w:rPr>
              <w:t>120</w:t>
            </w:r>
          </w:p>
        </w:tc>
        <w:tc>
          <w:tcPr>
            <w:tcW w:w="850" w:type="dxa"/>
            <w:vAlign w:val="center"/>
          </w:tcPr>
          <w:p>
            <w:pPr>
              <w:adjustRightInd w:val="0"/>
              <w:snapToGrid w:val="0"/>
              <w:spacing w:line="310" w:lineRule="exact"/>
              <w:rPr>
                <w:rFonts w:eastAsiaTheme="minorEastAsia"/>
                <w:szCs w:val="21"/>
              </w:rPr>
            </w:pPr>
            <w:r>
              <w:rPr>
                <w:rFonts w:eastAsiaTheme="minorEastAsia"/>
                <w:szCs w:val="21"/>
              </w:rPr>
              <w:t>全球性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565" w:type="dxa"/>
            <w:vAlign w:val="center"/>
          </w:tcPr>
          <w:p>
            <w:pPr>
              <w:pStyle w:val="47"/>
              <w:numPr>
                <w:ilvl w:val="0"/>
                <w:numId w:val="3"/>
              </w:numPr>
              <w:adjustRightInd w:val="0"/>
              <w:snapToGrid w:val="0"/>
              <w:spacing w:line="310" w:lineRule="exact"/>
              <w:ind w:right="-313" w:rightChars="-149" w:firstLineChars="0"/>
              <w:jc w:val="center"/>
              <w:rPr>
                <w:rFonts w:eastAsiaTheme="minorEastAsia"/>
                <w:szCs w:val="21"/>
              </w:rPr>
            </w:pPr>
          </w:p>
        </w:tc>
        <w:tc>
          <w:tcPr>
            <w:tcW w:w="2015" w:type="dxa"/>
            <w:vAlign w:val="center"/>
          </w:tcPr>
          <w:p>
            <w:pPr>
              <w:adjustRightInd w:val="0"/>
              <w:snapToGrid w:val="0"/>
              <w:spacing w:line="310" w:lineRule="exact"/>
              <w:rPr>
                <w:rFonts w:eastAsiaTheme="minorEastAsia"/>
                <w:szCs w:val="21"/>
              </w:rPr>
            </w:pPr>
            <w:r>
              <w:rPr>
                <w:rFonts w:eastAsiaTheme="minorEastAsia"/>
                <w:szCs w:val="21"/>
              </w:rPr>
              <w:t>第一届漓江国际药学论坛</w:t>
            </w:r>
          </w:p>
        </w:tc>
        <w:tc>
          <w:tcPr>
            <w:tcW w:w="2551" w:type="dxa"/>
            <w:vAlign w:val="center"/>
          </w:tcPr>
          <w:p>
            <w:pPr>
              <w:adjustRightInd w:val="0"/>
              <w:snapToGrid w:val="0"/>
              <w:spacing w:line="310" w:lineRule="exact"/>
              <w:rPr>
                <w:rFonts w:eastAsiaTheme="minorEastAsia"/>
                <w:szCs w:val="21"/>
              </w:rPr>
            </w:pPr>
            <w:r>
              <w:rPr>
                <w:rFonts w:eastAsiaTheme="minorEastAsia"/>
                <w:szCs w:val="21"/>
              </w:rPr>
              <w:t>药用资源化学与药物分子工程重点实验室</w:t>
            </w:r>
          </w:p>
        </w:tc>
        <w:tc>
          <w:tcPr>
            <w:tcW w:w="707" w:type="dxa"/>
            <w:vAlign w:val="center"/>
          </w:tcPr>
          <w:p>
            <w:pPr>
              <w:spacing w:line="310" w:lineRule="exact"/>
              <w:rPr>
                <w:rFonts w:eastAsiaTheme="minorEastAsia"/>
                <w:szCs w:val="21"/>
              </w:rPr>
            </w:pPr>
            <w:r>
              <w:rPr>
                <w:rFonts w:eastAsiaTheme="minorEastAsia"/>
                <w:szCs w:val="21"/>
              </w:rPr>
              <w:t>梁宏</w:t>
            </w:r>
          </w:p>
        </w:tc>
        <w:tc>
          <w:tcPr>
            <w:tcW w:w="1136" w:type="dxa"/>
            <w:vAlign w:val="center"/>
          </w:tcPr>
          <w:p>
            <w:pPr>
              <w:adjustRightInd w:val="0"/>
              <w:snapToGrid w:val="0"/>
              <w:spacing w:line="310" w:lineRule="exact"/>
              <w:rPr>
                <w:rFonts w:eastAsiaTheme="minorEastAsia"/>
                <w:szCs w:val="21"/>
              </w:rPr>
            </w:pPr>
            <w:r>
              <w:rPr>
                <w:rFonts w:eastAsiaTheme="minorEastAsia"/>
                <w:szCs w:val="21"/>
              </w:rPr>
              <w:t>2017年9月15-17日</w:t>
            </w:r>
          </w:p>
        </w:tc>
        <w:tc>
          <w:tcPr>
            <w:tcW w:w="709" w:type="dxa"/>
            <w:vAlign w:val="center"/>
          </w:tcPr>
          <w:p>
            <w:pPr>
              <w:adjustRightInd w:val="0"/>
              <w:snapToGrid w:val="0"/>
              <w:spacing w:line="310" w:lineRule="exact"/>
              <w:rPr>
                <w:rFonts w:eastAsiaTheme="minorEastAsia"/>
                <w:szCs w:val="21"/>
              </w:rPr>
            </w:pPr>
            <w:r>
              <w:rPr>
                <w:rFonts w:eastAsiaTheme="minorEastAsia"/>
                <w:szCs w:val="21"/>
              </w:rPr>
              <w:t>170</w:t>
            </w:r>
          </w:p>
        </w:tc>
        <w:tc>
          <w:tcPr>
            <w:tcW w:w="850" w:type="dxa"/>
            <w:vAlign w:val="center"/>
          </w:tcPr>
          <w:p>
            <w:pPr>
              <w:adjustRightInd w:val="0"/>
              <w:snapToGrid w:val="0"/>
              <w:spacing w:line="310" w:lineRule="exact"/>
              <w:rPr>
                <w:rFonts w:eastAsiaTheme="minorEastAsia"/>
                <w:szCs w:val="21"/>
              </w:rPr>
            </w:pPr>
            <w:r>
              <w:rPr>
                <w:rFonts w:eastAsiaTheme="minorEastAsia"/>
                <w:szCs w:val="21"/>
              </w:rPr>
              <w:t>全球性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565" w:type="dxa"/>
            <w:vAlign w:val="center"/>
          </w:tcPr>
          <w:p>
            <w:pPr>
              <w:pStyle w:val="47"/>
              <w:numPr>
                <w:ilvl w:val="0"/>
                <w:numId w:val="3"/>
              </w:numPr>
              <w:adjustRightInd w:val="0"/>
              <w:snapToGrid w:val="0"/>
              <w:spacing w:line="310" w:lineRule="exact"/>
              <w:ind w:right="-313" w:rightChars="-149" w:firstLineChars="0"/>
              <w:jc w:val="center"/>
              <w:rPr>
                <w:rFonts w:eastAsiaTheme="minorEastAsia"/>
                <w:szCs w:val="21"/>
              </w:rPr>
            </w:pPr>
          </w:p>
        </w:tc>
        <w:tc>
          <w:tcPr>
            <w:tcW w:w="2015" w:type="dxa"/>
            <w:vAlign w:val="center"/>
          </w:tcPr>
          <w:p>
            <w:pPr>
              <w:adjustRightInd w:val="0"/>
              <w:snapToGrid w:val="0"/>
              <w:spacing w:line="310" w:lineRule="exact"/>
              <w:rPr>
                <w:rFonts w:eastAsiaTheme="minorEastAsia"/>
                <w:szCs w:val="21"/>
              </w:rPr>
            </w:pPr>
            <w:r>
              <w:rPr>
                <w:rFonts w:eastAsiaTheme="minorEastAsia"/>
                <w:szCs w:val="21"/>
              </w:rPr>
              <w:t>中国化学会全国第十二届有机合成化学学术研讨会</w:t>
            </w:r>
          </w:p>
        </w:tc>
        <w:tc>
          <w:tcPr>
            <w:tcW w:w="2551" w:type="dxa"/>
            <w:vAlign w:val="center"/>
          </w:tcPr>
          <w:p>
            <w:pPr>
              <w:adjustRightInd w:val="0"/>
              <w:snapToGrid w:val="0"/>
              <w:spacing w:line="310" w:lineRule="exact"/>
              <w:rPr>
                <w:rFonts w:eastAsiaTheme="minorEastAsia"/>
                <w:szCs w:val="21"/>
              </w:rPr>
            </w:pPr>
            <w:r>
              <w:rPr>
                <w:rFonts w:eastAsiaTheme="minorEastAsia"/>
                <w:szCs w:val="21"/>
              </w:rPr>
              <w:t>主办：中国化学会</w:t>
            </w:r>
          </w:p>
          <w:p>
            <w:pPr>
              <w:adjustRightInd w:val="0"/>
              <w:snapToGrid w:val="0"/>
              <w:spacing w:line="310" w:lineRule="exact"/>
              <w:rPr>
                <w:rFonts w:eastAsiaTheme="minorEastAsia"/>
                <w:szCs w:val="21"/>
              </w:rPr>
            </w:pPr>
            <w:r>
              <w:rPr>
                <w:rFonts w:hint="eastAsia" w:eastAsiaTheme="minorEastAsia"/>
                <w:szCs w:val="21"/>
              </w:rPr>
              <w:t>承办：</w:t>
            </w:r>
            <w:r>
              <w:rPr>
                <w:rFonts w:eastAsiaTheme="minorEastAsia"/>
                <w:szCs w:val="21"/>
              </w:rPr>
              <w:t>药用资源化学与药物分子工程重点</w:t>
            </w:r>
            <w:r>
              <w:rPr>
                <w:rFonts w:hint="eastAsia" w:eastAsiaTheme="minorEastAsia"/>
                <w:szCs w:val="21"/>
              </w:rPr>
              <w:t xml:space="preserve">                            </w:t>
            </w:r>
            <w:r>
              <w:rPr>
                <w:rFonts w:eastAsiaTheme="minorEastAsia"/>
                <w:szCs w:val="21"/>
              </w:rPr>
              <w:t>实验室</w:t>
            </w:r>
          </w:p>
        </w:tc>
        <w:tc>
          <w:tcPr>
            <w:tcW w:w="707" w:type="dxa"/>
            <w:vAlign w:val="center"/>
          </w:tcPr>
          <w:p>
            <w:pPr>
              <w:spacing w:line="310" w:lineRule="exact"/>
              <w:rPr>
                <w:rFonts w:eastAsiaTheme="minorEastAsia"/>
                <w:szCs w:val="21"/>
              </w:rPr>
            </w:pPr>
            <w:r>
              <w:rPr>
                <w:rFonts w:eastAsiaTheme="minorEastAsia"/>
                <w:szCs w:val="21"/>
              </w:rPr>
              <w:t>梁宏</w:t>
            </w:r>
          </w:p>
        </w:tc>
        <w:tc>
          <w:tcPr>
            <w:tcW w:w="1136" w:type="dxa"/>
            <w:vAlign w:val="center"/>
          </w:tcPr>
          <w:p>
            <w:pPr>
              <w:adjustRightInd w:val="0"/>
              <w:snapToGrid w:val="0"/>
              <w:spacing w:line="310" w:lineRule="exact"/>
              <w:rPr>
                <w:rFonts w:eastAsiaTheme="minorEastAsia"/>
                <w:szCs w:val="21"/>
              </w:rPr>
            </w:pPr>
            <w:r>
              <w:rPr>
                <w:rFonts w:eastAsiaTheme="minorEastAsia"/>
                <w:szCs w:val="21"/>
              </w:rPr>
              <w:t>2015年10月15-18日</w:t>
            </w:r>
          </w:p>
        </w:tc>
        <w:tc>
          <w:tcPr>
            <w:tcW w:w="709" w:type="dxa"/>
            <w:vAlign w:val="center"/>
          </w:tcPr>
          <w:p>
            <w:pPr>
              <w:adjustRightInd w:val="0"/>
              <w:snapToGrid w:val="0"/>
              <w:spacing w:line="310" w:lineRule="exact"/>
              <w:rPr>
                <w:rFonts w:eastAsiaTheme="minorEastAsia"/>
                <w:szCs w:val="21"/>
              </w:rPr>
            </w:pPr>
            <w:r>
              <w:rPr>
                <w:rFonts w:eastAsiaTheme="minorEastAsia"/>
                <w:szCs w:val="21"/>
              </w:rPr>
              <w:t>500</w:t>
            </w:r>
          </w:p>
        </w:tc>
        <w:tc>
          <w:tcPr>
            <w:tcW w:w="850" w:type="dxa"/>
            <w:vAlign w:val="center"/>
          </w:tcPr>
          <w:p>
            <w:pPr>
              <w:adjustRightInd w:val="0"/>
              <w:snapToGrid w:val="0"/>
              <w:spacing w:line="310" w:lineRule="exact"/>
              <w:rPr>
                <w:rFonts w:eastAsiaTheme="minorEastAsia"/>
                <w:szCs w:val="21"/>
              </w:rPr>
            </w:pPr>
            <w:r>
              <w:rPr>
                <w:rFonts w:eastAsiaTheme="minorEastAsia"/>
                <w:szCs w:val="21"/>
              </w:rPr>
              <w:t>全国性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565" w:type="dxa"/>
            <w:vAlign w:val="center"/>
          </w:tcPr>
          <w:p>
            <w:pPr>
              <w:pStyle w:val="47"/>
              <w:numPr>
                <w:ilvl w:val="0"/>
                <w:numId w:val="3"/>
              </w:numPr>
              <w:adjustRightInd w:val="0"/>
              <w:snapToGrid w:val="0"/>
              <w:spacing w:line="310" w:lineRule="exact"/>
              <w:ind w:right="-313" w:rightChars="-149" w:firstLineChars="0"/>
              <w:jc w:val="center"/>
              <w:rPr>
                <w:rFonts w:eastAsiaTheme="minorEastAsia"/>
                <w:szCs w:val="21"/>
              </w:rPr>
            </w:pPr>
          </w:p>
        </w:tc>
        <w:tc>
          <w:tcPr>
            <w:tcW w:w="2015" w:type="dxa"/>
            <w:vAlign w:val="center"/>
          </w:tcPr>
          <w:p>
            <w:pPr>
              <w:adjustRightInd w:val="0"/>
              <w:snapToGrid w:val="0"/>
              <w:spacing w:line="310" w:lineRule="exact"/>
              <w:rPr>
                <w:rFonts w:eastAsiaTheme="minorEastAsia"/>
                <w:szCs w:val="21"/>
              </w:rPr>
            </w:pPr>
            <w:r>
              <w:rPr>
                <w:rFonts w:eastAsiaTheme="minorEastAsia"/>
                <w:szCs w:val="21"/>
              </w:rPr>
              <w:t>第八届岭南有机化学论坛</w:t>
            </w:r>
          </w:p>
        </w:tc>
        <w:tc>
          <w:tcPr>
            <w:tcW w:w="2551" w:type="dxa"/>
            <w:vAlign w:val="center"/>
          </w:tcPr>
          <w:p>
            <w:pPr>
              <w:adjustRightInd w:val="0"/>
              <w:snapToGrid w:val="0"/>
              <w:spacing w:line="310" w:lineRule="exact"/>
              <w:rPr>
                <w:rFonts w:eastAsiaTheme="minorEastAsia"/>
                <w:szCs w:val="21"/>
              </w:rPr>
            </w:pPr>
            <w:r>
              <w:rPr>
                <w:rFonts w:eastAsiaTheme="minorEastAsia"/>
                <w:szCs w:val="21"/>
              </w:rPr>
              <w:t>药用资源化学与药物分子工程重点实验室</w:t>
            </w:r>
          </w:p>
        </w:tc>
        <w:tc>
          <w:tcPr>
            <w:tcW w:w="707" w:type="dxa"/>
            <w:vAlign w:val="center"/>
          </w:tcPr>
          <w:p>
            <w:pPr>
              <w:spacing w:line="310" w:lineRule="exact"/>
              <w:rPr>
                <w:rFonts w:eastAsiaTheme="minorEastAsia"/>
                <w:szCs w:val="21"/>
              </w:rPr>
            </w:pPr>
            <w:r>
              <w:rPr>
                <w:rFonts w:eastAsiaTheme="minorEastAsia"/>
                <w:szCs w:val="21"/>
              </w:rPr>
              <w:t>梁宏</w:t>
            </w:r>
          </w:p>
        </w:tc>
        <w:tc>
          <w:tcPr>
            <w:tcW w:w="1136" w:type="dxa"/>
            <w:vAlign w:val="center"/>
          </w:tcPr>
          <w:p>
            <w:pPr>
              <w:spacing w:line="310" w:lineRule="exact"/>
              <w:rPr>
                <w:rFonts w:eastAsiaTheme="minorEastAsia"/>
                <w:szCs w:val="21"/>
              </w:rPr>
            </w:pPr>
            <w:r>
              <w:rPr>
                <w:rFonts w:eastAsiaTheme="minorEastAsia"/>
                <w:szCs w:val="21"/>
              </w:rPr>
              <w:t>2018年10月11-13日</w:t>
            </w:r>
          </w:p>
        </w:tc>
        <w:tc>
          <w:tcPr>
            <w:tcW w:w="709" w:type="dxa"/>
            <w:vAlign w:val="center"/>
          </w:tcPr>
          <w:p>
            <w:pPr>
              <w:adjustRightInd w:val="0"/>
              <w:snapToGrid w:val="0"/>
              <w:spacing w:line="310" w:lineRule="exact"/>
              <w:rPr>
                <w:rFonts w:eastAsiaTheme="minorEastAsia"/>
                <w:szCs w:val="21"/>
              </w:rPr>
            </w:pPr>
            <w:r>
              <w:rPr>
                <w:rFonts w:eastAsiaTheme="minorEastAsia"/>
                <w:szCs w:val="21"/>
              </w:rPr>
              <w:t>500</w:t>
            </w:r>
          </w:p>
        </w:tc>
        <w:tc>
          <w:tcPr>
            <w:tcW w:w="850" w:type="dxa"/>
            <w:vAlign w:val="center"/>
          </w:tcPr>
          <w:p>
            <w:pPr>
              <w:adjustRightInd w:val="0"/>
              <w:snapToGrid w:val="0"/>
              <w:spacing w:line="310" w:lineRule="exact"/>
              <w:rPr>
                <w:rFonts w:eastAsiaTheme="minorEastAsia"/>
                <w:szCs w:val="21"/>
              </w:rPr>
            </w:pPr>
            <w:r>
              <w:rPr>
                <w:rFonts w:eastAsiaTheme="minorEastAsia"/>
                <w:szCs w:val="21"/>
              </w:rPr>
              <w:t>全国性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565" w:type="dxa"/>
            <w:vAlign w:val="center"/>
          </w:tcPr>
          <w:p>
            <w:pPr>
              <w:pStyle w:val="47"/>
              <w:numPr>
                <w:ilvl w:val="0"/>
                <w:numId w:val="3"/>
              </w:numPr>
              <w:adjustRightInd w:val="0"/>
              <w:snapToGrid w:val="0"/>
              <w:spacing w:line="310" w:lineRule="exact"/>
              <w:ind w:right="-313" w:rightChars="-149" w:firstLineChars="0"/>
              <w:jc w:val="center"/>
              <w:rPr>
                <w:rFonts w:eastAsiaTheme="minorEastAsia"/>
                <w:szCs w:val="21"/>
              </w:rPr>
            </w:pPr>
          </w:p>
        </w:tc>
        <w:tc>
          <w:tcPr>
            <w:tcW w:w="2015" w:type="dxa"/>
            <w:vAlign w:val="center"/>
          </w:tcPr>
          <w:p>
            <w:pPr>
              <w:adjustRightInd w:val="0"/>
              <w:snapToGrid w:val="0"/>
              <w:spacing w:line="310" w:lineRule="exact"/>
              <w:rPr>
                <w:rFonts w:eastAsiaTheme="minorEastAsia"/>
                <w:szCs w:val="21"/>
              </w:rPr>
            </w:pPr>
            <w:r>
              <w:rPr>
                <w:rFonts w:hint="eastAsia" w:eastAsiaTheme="minorEastAsia"/>
                <w:szCs w:val="21"/>
              </w:rPr>
              <w:t>第三届全国原子光谱及相关技术学术会议</w:t>
            </w:r>
          </w:p>
        </w:tc>
        <w:tc>
          <w:tcPr>
            <w:tcW w:w="2551" w:type="dxa"/>
            <w:vAlign w:val="center"/>
          </w:tcPr>
          <w:p>
            <w:pPr>
              <w:adjustRightInd w:val="0"/>
              <w:snapToGrid w:val="0"/>
              <w:spacing w:line="310" w:lineRule="exact"/>
              <w:rPr>
                <w:rFonts w:eastAsiaTheme="minorEastAsia"/>
                <w:szCs w:val="21"/>
              </w:rPr>
            </w:pPr>
            <w:r>
              <w:rPr>
                <w:rFonts w:hint="eastAsia" w:eastAsiaTheme="minorEastAsia"/>
                <w:szCs w:val="21"/>
              </w:rPr>
              <w:t>主办：中国仪器仪表学会分析仪器分会原子光谱专业委员会</w:t>
            </w:r>
          </w:p>
          <w:p>
            <w:pPr>
              <w:adjustRightInd w:val="0"/>
              <w:snapToGrid w:val="0"/>
              <w:spacing w:line="310" w:lineRule="exact"/>
              <w:rPr>
                <w:rFonts w:eastAsiaTheme="minorEastAsia"/>
                <w:szCs w:val="21"/>
              </w:rPr>
            </w:pPr>
            <w:r>
              <w:rPr>
                <w:rFonts w:hint="eastAsia" w:eastAsiaTheme="minorEastAsia"/>
                <w:szCs w:val="21"/>
              </w:rPr>
              <w:t>承办：</w:t>
            </w:r>
            <w:r>
              <w:rPr>
                <w:rFonts w:eastAsiaTheme="minorEastAsia"/>
                <w:szCs w:val="21"/>
              </w:rPr>
              <w:t>药用资源化学与药物分子工程重点实验室</w:t>
            </w:r>
          </w:p>
        </w:tc>
        <w:tc>
          <w:tcPr>
            <w:tcW w:w="707" w:type="dxa"/>
            <w:vAlign w:val="center"/>
          </w:tcPr>
          <w:p>
            <w:pPr>
              <w:spacing w:line="310" w:lineRule="exact"/>
              <w:rPr>
                <w:rFonts w:eastAsiaTheme="minorEastAsia"/>
                <w:szCs w:val="21"/>
              </w:rPr>
            </w:pPr>
            <w:r>
              <w:rPr>
                <w:rFonts w:hint="eastAsia" w:eastAsiaTheme="minorEastAsia"/>
                <w:szCs w:val="21"/>
              </w:rPr>
              <w:t>江桂斌院士</w:t>
            </w:r>
          </w:p>
        </w:tc>
        <w:tc>
          <w:tcPr>
            <w:tcW w:w="1136" w:type="dxa"/>
            <w:vAlign w:val="center"/>
          </w:tcPr>
          <w:p>
            <w:pPr>
              <w:spacing w:line="310" w:lineRule="exact"/>
              <w:rPr>
                <w:rFonts w:eastAsiaTheme="minorEastAsia"/>
                <w:szCs w:val="21"/>
              </w:rPr>
            </w:pPr>
            <w:r>
              <w:rPr>
                <w:rFonts w:hint="eastAsia" w:eastAsiaTheme="minorEastAsia"/>
                <w:szCs w:val="21"/>
              </w:rPr>
              <w:t>2014年9月13-15日</w:t>
            </w:r>
          </w:p>
        </w:tc>
        <w:tc>
          <w:tcPr>
            <w:tcW w:w="709" w:type="dxa"/>
            <w:vAlign w:val="center"/>
          </w:tcPr>
          <w:p>
            <w:pPr>
              <w:adjustRightInd w:val="0"/>
              <w:snapToGrid w:val="0"/>
              <w:spacing w:line="310" w:lineRule="exact"/>
              <w:rPr>
                <w:rFonts w:eastAsiaTheme="minorEastAsia"/>
                <w:szCs w:val="21"/>
              </w:rPr>
            </w:pPr>
            <w:r>
              <w:rPr>
                <w:rFonts w:hint="eastAsia" w:eastAsiaTheme="minorEastAsia"/>
                <w:szCs w:val="21"/>
              </w:rPr>
              <w:t>263</w:t>
            </w:r>
          </w:p>
        </w:tc>
        <w:tc>
          <w:tcPr>
            <w:tcW w:w="850" w:type="dxa"/>
            <w:vAlign w:val="center"/>
          </w:tcPr>
          <w:p>
            <w:pPr>
              <w:adjustRightInd w:val="0"/>
              <w:snapToGrid w:val="0"/>
              <w:spacing w:line="310" w:lineRule="exact"/>
              <w:rPr>
                <w:rFonts w:eastAsiaTheme="minorEastAsia"/>
                <w:szCs w:val="21"/>
              </w:rPr>
            </w:pPr>
            <w:r>
              <w:rPr>
                <w:rFonts w:eastAsiaTheme="minorEastAsia"/>
                <w:szCs w:val="21"/>
              </w:rPr>
              <w:t>全国性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565" w:type="dxa"/>
            <w:vAlign w:val="center"/>
          </w:tcPr>
          <w:p>
            <w:pPr>
              <w:pStyle w:val="47"/>
              <w:numPr>
                <w:ilvl w:val="0"/>
                <w:numId w:val="3"/>
              </w:numPr>
              <w:adjustRightInd w:val="0"/>
              <w:snapToGrid w:val="0"/>
              <w:spacing w:line="310" w:lineRule="exact"/>
              <w:ind w:right="-313" w:rightChars="-149" w:firstLineChars="0"/>
              <w:jc w:val="center"/>
              <w:rPr>
                <w:rFonts w:eastAsiaTheme="minorEastAsia"/>
                <w:szCs w:val="21"/>
              </w:rPr>
            </w:pPr>
          </w:p>
        </w:tc>
        <w:tc>
          <w:tcPr>
            <w:tcW w:w="2015" w:type="dxa"/>
            <w:vAlign w:val="center"/>
          </w:tcPr>
          <w:p>
            <w:pPr>
              <w:adjustRightInd w:val="0"/>
              <w:snapToGrid w:val="0"/>
              <w:spacing w:line="310" w:lineRule="exact"/>
              <w:rPr>
                <w:rFonts w:eastAsiaTheme="minorEastAsia"/>
                <w:szCs w:val="21"/>
              </w:rPr>
            </w:pPr>
            <w:r>
              <w:rPr>
                <w:rFonts w:eastAsiaTheme="minorEastAsia"/>
                <w:szCs w:val="21"/>
              </w:rPr>
              <w:t>2015年全国药物化学博士后学术论坛</w:t>
            </w:r>
          </w:p>
        </w:tc>
        <w:tc>
          <w:tcPr>
            <w:tcW w:w="2551" w:type="dxa"/>
            <w:vAlign w:val="center"/>
          </w:tcPr>
          <w:p>
            <w:pPr>
              <w:adjustRightInd w:val="0"/>
              <w:snapToGrid w:val="0"/>
              <w:spacing w:line="310" w:lineRule="exact"/>
              <w:rPr>
                <w:rFonts w:eastAsiaTheme="minorEastAsia"/>
                <w:szCs w:val="21"/>
              </w:rPr>
            </w:pPr>
            <w:r>
              <w:rPr>
                <w:rFonts w:eastAsiaTheme="minorEastAsia"/>
                <w:szCs w:val="21"/>
              </w:rPr>
              <w:t>主办：全国博士管办、中国博士后科学基金会、广西人社厅</w:t>
            </w:r>
          </w:p>
          <w:p>
            <w:pPr>
              <w:adjustRightInd w:val="0"/>
              <w:snapToGrid w:val="0"/>
              <w:spacing w:line="310" w:lineRule="exact"/>
              <w:rPr>
                <w:rFonts w:eastAsiaTheme="minorEastAsia"/>
                <w:szCs w:val="21"/>
              </w:rPr>
            </w:pPr>
            <w:r>
              <w:rPr>
                <w:rFonts w:hint="eastAsia" w:eastAsiaTheme="minorEastAsia"/>
                <w:szCs w:val="21"/>
              </w:rPr>
              <w:t>承办：</w:t>
            </w:r>
            <w:r>
              <w:rPr>
                <w:rFonts w:eastAsiaTheme="minorEastAsia"/>
                <w:szCs w:val="21"/>
              </w:rPr>
              <w:t>药用资源化学与药物分子工程重点实验室</w:t>
            </w:r>
          </w:p>
        </w:tc>
        <w:tc>
          <w:tcPr>
            <w:tcW w:w="707" w:type="dxa"/>
            <w:vAlign w:val="center"/>
          </w:tcPr>
          <w:p>
            <w:pPr>
              <w:spacing w:line="310" w:lineRule="exact"/>
              <w:rPr>
                <w:rFonts w:eastAsiaTheme="minorEastAsia"/>
                <w:szCs w:val="21"/>
              </w:rPr>
            </w:pPr>
            <w:r>
              <w:rPr>
                <w:rFonts w:eastAsiaTheme="minorEastAsia"/>
                <w:szCs w:val="21"/>
              </w:rPr>
              <w:t>梁宏</w:t>
            </w:r>
          </w:p>
        </w:tc>
        <w:tc>
          <w:tcPr>
            <w:tcW w:w="1136" w:type="dxa"/>
            <w:vAlign w:val="center"/>
          </w:tcPr>
          <w:p>
            <w:pPr>
              <w:adjustRightInd w:val="0"/>
              <w:snapToGrid w:val="0"/>
              <w:spacing w:line="310" w:lineRule="exact"/>
              <w:rPr>
                <w:rFonts w:eastAsiaTheme="minorEastAsia"/>
                <w:szCs w:val="21"/>
              </w:rPr>
            </w:pPr>
            <w:r>
              <w:rPr>
                <w:rFonts w:eastAsiaTheme="minorEastAsia"/>
                <w:szCs w:val="21"/>
              </w:rPr>
              <w:t>2015年10月24日</w:t>
            </w:r>
          </w:p>
        </w:tc>
        <w:tc>
          <w:tcPr>
            <w:tcW w:w="709" w:type="dxa"/>
            <w:vAlign w:val="center"/>
          </w:tcPr>
          <w:p>
            <w:pPr>
              <w:adjustRightInd w:val="0"/>
              <w:snapToGrid w:val="0"/>
              <w:spacing w:line="310" w:lineRule="exact"/>
              <w:rPr>
                <w:rFonts w:eastAsiaTheme="minorEastAsia"/>
                <w:szCs w:val="21"/>
              </w:rPr>
            </w:pPr>
            <w:r>
              <w:rPr>
                <w:rFonts w:eastAsiaTheme="minorEastAsia"/>
                <w:szCs w:val="21"/>
              </w:rPr>
              <w:t>100</w:t>
            </w:r>
          </w:p>
        </w:tc>
        <w:tc>
          <w:tcPr>
            <w:tcW w:w="850" w:type="dxa"/>
            <w:vAlign w:val="center"/>
          </w:tcPr>
          <w:p>
            <w:pPr>
              <w:adjustRightInd w:val="0"/>
              <w:snapToGrid w:val="0"/>
              <w:spacing w:line="310" w:lineRule="exact"/>
              <w:rPr>
                <w:rFonts w:eastAsiaTheme="minorEastAsia"/>
                <w:szCs w:val="21"/>
              </w:rPr>
            </w:pPr>
            <w:r>
              <w:rPr>
                <w:rFonts w:eastAsiaTheme="minorEastAsia"/>
                <w:szCs w:val="21"/>
              </w:rPr>
              <w:t>全国性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565" w:type="dxa"/>
            <w:vAlign w:val="center"/>
          </w:tcPr>
          <w:p>
            <w:pPr>
              <w:pStyle w:val="47"/>
              <w:numPr>
                <w:ilvl w:val="0"/>
                <w:numId w:val="3"/>
              </w:numPr>
              <w:adjustRightInd w:val="0"/>
              <w:snapToGrid w:val="0"/>
              <w:spacing w:line="310" w:lineRule="exact"/>
              <w:ind w:right="-313" w:rightChars="-149" w:firstLineChars="0"/>
              <w:jc w:val="center"/>
              <w:rPr>
                <w:rFonts w:eastAsiaTheme="minorEastAsia"/>
                <w:szCs w:val="21"/>
              </w:rPr>
            </w:pPr>
          </w:p>
        </w:tc>
        <w:tc>
          <w:tcPr>
            <w:tcW w:w="2015" w:type="dxa"/>
            <w:vAlign w:val="center"/>
          </w:tcPr>
          <w:p>
            <w:pPr>
              <w:adjustRightInd w:val="0"/>
              <w:snapToGrid w:val="0"/>
              <w:spacing w:line="310" w:lineRule="exact"/>
              <w:rPr>
                <w:rFonts w:eastAsiaTheme="minorEastAsia"/>
                <w:szCs w:val="21"/>
              </w:rPr>
            </w:pPr>
            <w:r>
              <w:rPr>
                <w:rFonts w:eastAsiaTheme="minorEastAsia"/>
                <w:szCs w:val="21"/>
              </w:rPr>
              <w:t>生命过程及反应的无机化学基础学术研讨会</w:t>
            </w:r>
          </w:p>
        </w:tc>
        <w:tc>
          <w:tcPr>
            <w:tcW w:w="2551" w:type="dxa"/>
            <w:vAlign w:val="center"/>
          </w:tcPr>
          <w:p>
            <w:pPr>
              <w:adjustRightInd w:val="0"/>
              <w:snapToGrid w:val="0"/>
              <w:spacing w:line="310" w:lineRule="exact"/>
              <w:rPr>
                <w:rFonts w:eastAsiaTheme="minorEastAsia"/>
                <w:szCs w:val="21"/>
              </w:rPr>
            </w:pPr>
            <w:r>
              <w:rPr>
                <w:rFonts w:eastAsiaTheme="minorEastAsia"/>
                <w:szCs w:val="21"/>
              </w:rPr>
              <w:t>主办：南京大学配位化学国家重点实验室、中山大学生物无机与合成化学教育部重点实验室、药用资源化学与药物分子工程重点实验室</w:t>
            </w:r>
          </w:p>
        </w:tc>
        <w:tc>
          <w:tcPr>
            <w:tcW w:w="707" w:type="dxa"/>
            <w:vAlign w:val="center"/>
          </w:tcPr>
          <w:p>
            <w:pPr>
              <w:spacing w:line="310" w:lineRule="exact"/>
              <w:rPr>
                <w:rFonts w:eastAsiaTheme="minorEastAsia"/>
                <w:szCs w:val="21"/>
              </w:rPr>
            </w:pPr>
            <w:r>
              <w:rPr>
                <w:rFonts w:eastAsiaTheme="minorEastAsia"/>
                <w:szCs w:val="21"/>
              </w:rPr>
              <w:t>梁宏</w:t>
            </w:r>
          </w:p>
        </w:tc>
        <w:tc>
          <w:tcPr>
            <w:tcW w:w="1136" w:type="dxa"/>
            <w:vAlign w:val="center"/>
          </w:tcPr>
          <w:p>
            <w:pPr>
              <w:adjustRightInd w:val="0"/>
              <w:snapToGrid w:val="0"/>
              <w:spacing w:line="310" w:lineRule="exact"/>
              <w:rPr>
                <w:rFonts w:eastAsiaTheme="minorEastAsia"/>
                <w:szCs w:val="21"/>
              </w:rPr>
            </w:pPr>
            <w:r>
              <w:rPr>
                <w:rFonts w:eastAsiaTheme="minorEastAsia"/>
                <w:szCs w:val="21"/>
              </w:rPr>
              <w:t>2015年11月13-15日</w:t>
            </w:r>
          </w:p>
        </w:tc>
        <w:tc>
          <w:tcPr>
            <w:tcW w:w="709" w:type="dxa"/>
            <w:vAlign w:val="center"/>
          </w:tcPr>
          <w:p>
            <w:pPr>
              <w:adjustRightInd w:val="0"/>
              <w:snapToGrid w:val="0"/>
              <w:spacing w:line="310" w:lineRule="exact"/>
              <w:rPr>
                <w:rFonts w:eastAsiaTheme="minorEastAsia"/>
                <w:szCs w:val="21"/>
              </w:rPr>
            </w:pPr>
            <w:r>
              <w:rPr>
                <w:rFonts w:hint="eastAsia" w:eastAsiaTheme="minorEastAsia"/>
                <w:szCs w:val="21"/>
              </w:rPr>
              <w:t>60</w:t>
            </w:r>
          </w:p>
        </w:tc>
        <w:tc>
          <w:tcPr>
            <w:tcW w:w="850" w:type="dxa"/>
            <w:vAlign w:val="center"/>
          </w:tcPr>
          <w:p>
            <w:pPr>
              <w:adjustRightInd w:val="0"/>
              <w:snapToGrid w:val="0"/>
              <w:spacing w:line="310" w:lineRule="exact"/>
              <w:rPr>
                <w:rFonts w:eastAsiaTheme="minorEastAsia"/>
                <w:szCs w:val="21"/>
              </w:rPr>
            </w:pPr>
            <w:r>
              <w:rPr>
                <w:rFonts w:eastAsiaTheme="minorEastAsia"/>
                <w:szCs w:val="21"/>
              </w:rPr>
              <w:t>全国性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565" w:type="dxa"/>
            <w:vAlign w:val="center"/>
          </w:tcPr>
          <w:p>
            <w:pPr>
              <w:pStyle w:val="47"/>
              <w:numPr>
                <w:ilvl w:val="0"/>
                <w:numId w:val="3"/>
              </w:numPr>
              <w:adjustRightInd w:val="0"/>
              <w:snapToGrid w:val="0"/>
              <w:spacing w:line="310" w:lineRule="exact"/>
              <w:ind w:right="-313" w:rightChars="-149" w:firstLineChars="0"/>
              <w:jc w:val="center"/>
              <w:rPr>
                <w:rFonts w:eastAsiaTheme="minorEastAsia"/>
                <w:szCs w:val="21"/>
              </w:rPr>
            </w:pPr>
          </w:p>
        </w:tc>
        <w:tc>
          <w:tcPr>
            <w:tcW w:w="2015" w:type="dxa"/>
            <w:vAlign w:val="center"/>
          </w:tcPr>
          <w:p>
            <w:pPr>
              <w:adjustRightInd w:val="0"/>
              <w:snapToGrid w:val="0"/>
              <w:spacing w:line="310" w:lineRule="exact"/>
              <w:rPr>
                <w:rFonts w:eastAsiaTheme="minorEastAsia"/>
                <w:szCs w:val="21"/>
              </w:rPr>
            </w:pPr>
            <w:r>
              <w:rPr>
                <w:rFonts w:hint="eastAsia" w:eastAsiaTheme="minorEastAsia"/>
                <w:szCs w:val="21"/>
              </w:rPr>
              <w:t>第十七届全国高等师范院校化学课程结构与教学改革研讨会</w:t>
            </w:r>
          </w:p>
        </w:tc>
        <w:tc>
          <w:tcPr>
            <w:tcW w:w="2551" w:type="dxa"/>
            <w:vAlign w:val="center"/>
          </w:tcPr>
          <w:p>
            <w:pPr>
              <w:adjustRightInd w:val="0"/>
              <w:snapToGrid w:val="0"/>
              <w:spacing w:line="310" w:lineRule="exact"/>
              <w:rPr>
                <w:rFonts w:eastAsiaTheme="minorEastAsia"/>
                <w:szCs w:val="21"/>
              </w:rPr>
            </w:pPr>
            <w:r>
              <w:rPr>
                <w:rFonts w:eastAsiaTheme="minorEastAsia"/>
                <w:szCs w:val="21"/>
              </w:rPr>
              <w:t>主办：</w:t>
            </w:r>
            <w:r>
              <w:rPr>
                <w:rFonts w:hint="eastAsia" w:eastAsiaTheme="minorEastAsia"/>
                <w:szCs w:val="21"/>
              </w:rPr>
              <w:t>教育部高等学校化学类专业教学指导委员会（高师协作组）</w:t>
            </w:r>
          </w:p>
          <w:p>
            <w:pPr>
              <w:adjustRightInd w:val="0"/>
              <w:snapToGrid w:val="0"/>
              <w:spacing w:line="310" w:lineRule="exact"/>
              <w:rPr>
                <w:rFonts w:eastAsiaTheme="minorEastAsia"/>
                <w:szCs w:val="21"/>
              </w:rPr>
            </w:pPr>
            <w:r>
              <w:rPr>
                <w:rFonts w:hint="eastAsia" w:eastAsiaTheme="minorEastAsia"/>
                <w:szCs w:val="21"/>
              </w:rPr>
              <w:t>承办：</w:t>
            </w:r>
            <w:r>
              <w:rPr>
                <w:rFonts w:eastAsiaTheme="minorEastAsia"/>
                <w:szCs w:val="21"/>
              </w:rPr>
              <w:t>药用资源化学与药物分子工程重点实验室</w:t>
            </w:r>
          </w:p>
        </w:tc>
        <w:tc>
          <w:tcPr>
            <w:tcW w:w="707" w:type="dxa"/>
            <w:vAlign w:val="center"/>
          </w:tcPr>
          <w:p>
            <w:pPr>
              <w:adjustRightInd w:val="0"/>
              <w:snapToGrid w:val="0"/>
              <w:spacing w:line="310" w:lineRule="exact"/>
              <w:rPr>
                <w:rFonts w:eastAsiaTheme="minorEastAsia"/>
                <w:szCs w:val="21"/>
              </w:rPr>
            </w:pPr>
            <w:r>
              <w:rPr>
                <w:rFonts w:eastAsiaTheme="minorEastAsia"/>
                <w:szCs w:val="21"/>
              </w:rPr>
              <w:t>梁宏</w:t>
            </w:r>
          </w:p>
        </w:tc>
        <w:tc>
          <w:tcPr>
            <w:tcW w:w="1136" w:type="dxa"/>
            <w:vAlign w:val="center"/>
          </w:tcPr>
          <w:p>
            <w:pPr>
              <w:adjustRightInd w:val="0"/>
              <w:snapToGrid w:val="0"/>
              <w:spacing w:line="310" w:lineRule="exact"/>
              <w:rPr>
                <w:rFonts w:eastAsiaTheme="minorEastAsia"/>
                <w:szCs w:val="21"/>
              </w:rPr>
            </w:pPr>
            <w:r>
              <w:rPr>
                <w:rFonts w:hint="eastAsia" w:eastAsiaTheme="minorEastAsia"/>
                <w:szCs w:val="21"/>
              </w:rPr>
              <w:t>2018年7月21日</w:t>
            </w:r>
          </w:p>
        </w:tc>
        <w:tc>
          <w:tcPr>
            <w:tcW w:w="709" w:type="dxa"/>
            <w:vAlign w:val="center"/>
          </w:tcPr>
          <w:p>
            <w:pPr>
              <w:adjustRightInd w:val="0"/>
              <w:snapToGrid w:val="0"/>
              <w:spacing w:line="310" w:lineRule="exact"/>
              <w:rPr>
                <w:rFonts w:eastAsiaTheme="minorEastAsia"/>
                <w:szCs w:val="21"/>
              </w:rPr>
            </w:pPr>
            <w:r>
              <w:rPr>
                <w:rFonts w:hint="eastAsia" w:eastAsiaTheme="minorEastAsia"/>
                <w:szCs w:val="21"/>
              </w:rPr>
              <w:t>150</w:t>
            </w:r>
          </w:p>
        </w:tc>
        <w:tc>
          <w:tcPr>
            <w:tcW w:w="850" w:type="dxa"/>
            <w:vAlign w:val="center"/>
          </w:tcPr>
          <w:p>
            <w:pPr>
              <w:adjustRightInd w:val="0"/>
              <w:snapToGrid w:val="0"/>
              <w:spacing w:line="310" w:lineRule="exact"/>
              <w:rPr>
                <w:rFonts w:eastAsiaTheme="minorEastAsia"/>
                <w:szCs w:val="21"/>
              </w:rPr>
            </w:pPr>
            <w:r>
              <w:rPr>
                <w:rFonts w:eastAsiaTheme="minorEastAsia"/>
                <w:szCs w:val="21"/>
              </w:rPr>
              <w:t>全国性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565" w:type="dxa"/>
            <w:vAlign w:val="center"/>
          </w:tcPr>
          <w:p>
            <w:pPr>
              <w:pStyle w:val="47"/>
              <w:numPr>
                <w:ilvl w:val="0"/>
                <w:numId w:val="3"/>
              </w:numPr>
              <w:adjustRightInd w:val="0"/>
              <w:snapToGrid w:val="0"/>
              <w:spacing w:line="310" w:lineRule="exact"/>
              <w:ind w:right="-313" w:rightChars="-149" w:firstLineChars="0"/>
              <w:jc w:val="center"/>
              <w:rPr>
                <w:rFonts w:eastAsiaTheme="minorEastAsia"/>
                <w:szCs w:val="21"/>
              </w:rPr>
            </w:pPr>
          </w:p>
        </w:tc>
        <w:tc>
          <w:tcPr>
            <w:tcW w:w="2015" w:type="dxa"/>
            <w:vAlign w:val="center"/>
          </w:tcPr>
          <w:p>
            <w:pPr>
              <w:adjustRightInd w:val="0"/>
              <w:snapToGrid w:val="0"/>
              <w:spacing w:line="310" w:lineRule="exact"/>
              <w:rPr>
                <w:rFonts w:eastAsiaTheme="minorEastAsia"/>
                <w:szCs w:val="21"/>
              </w:rPr>
            </w:pPr>
            <w:r>
              <w:rPr>
                <w:rFonts w:eastAsiaTheme="minorEastAsia"/>
                <w:szCs w:val="21"/>
              </w:rPr>
              <w:t>2014年广西药学博士后学术论坛</w:t>
            </w:r>
          </w:p>
        </w:tc>
        <w:tc>
          <w:tcPr>
            <w:tcW w:w="2551" w:type="dxa"/>
            <w:vAlign w:val="center"/>
          </w:tcPr>
          <w:p>
            <w:pPr>
              <w:adjustRightInd w:val="0"/>
              <w:snapToGrid w:val="0"/>
              <w:spacing w:line="310" w:lineRule="exact"/>
              <w:rPr>
                <w:rFonts w:eastAsiaTheme="minorEastAsia"/>
                <w:szCs w:val="21"/>
              </w:rPr>
            </w:pPr>
            <w:r>
              <w:rPr>
                <w:rFonts w:eastAsiaTheme="minorEastAsia"/>
                <w:szCs w:val="21"/>
              </w:rPr>
              <w:t>主办：广西区人力资源与社会保障厅</w:t>
            </w:r>
          </w:p>
          <w:p>
            <w:pPr>
              <w:adjustRightInd w:val="0"/>
              <w:snapToGrid w:val="0"/>
              <w:spacing w:line="310" w:lineRule="exact"/>
              <w:rPr>
                <w:rFonts w:eastAsiaTheme="minorEastAsia"/>
                <w:szCs w:val="21"/>
              </w:rPr>
            </w:pPr>
            <w:r>
              <w:rPr>
                <w:rFonts w:hint="eastAsia" w:eastAsiaTheme="minorEastAsia"/>
                <w:szCs w:val="21"/>
              </w:rPr>
              <w:t>承办：</w:t>
            </w:r>
            <w:r>
              <w:rPr>
                <w:rFonts w:eastAsiaTheme="minorEastAsia"/>
                <w:szCs w:val="21"/>
              </w:rPr>
              <w:t>药用资源化学与药物分子工程重点实验室</w:t>
            </w:r>
          </w:p>
        </w:tc>
        <w:tc>
          <w:tcPr>
            <w:tcW w:w="707" w:type="dxa"/>
            <w:vAlign w:val="center"/>
          </w:tcPr>
          <w:p>
            <w:pPr>
              <w:adjustRightInd w:val="0"/>
              <w:snapToGrid w:val="0"/>
              <w:spacing w:line="310" w:lineRule="exact"/>
              <w:rPr>
                <w:rFonts w:eastAsiaTheme="minorEastAsia"/>
                <w:szCs w:val="21"/>
              </w:rPr>
            </w:pPr>
            <w:r>
              <w:rPr>
                <w:rFonts w:eastAsiaTheme="minorEastAsia"/>
                <w:szCs w:val="21"/>
              </w:rPr>
              <w:t>梁宏</w:t>
            </w:r>
          </w:p>
        </w:tc>
        <w:tc>
          <w:tcPr>
            <w:tcW w:w="1136" w:type="dxa"/>
            <w:vAlign w:val="center"/>
          </w:tcPr>
          <w:p>
            <w:pPr>
              <w:adjustRightInd w:val="0"/>
              <w:snapToGrid w:val="0"/>
              <w:spacing w:line="310" w:lineRule="exact"/>
              <w:rPr>
                <w:rFonts w:eastAsiaTheme="minorEastAsia"/>
                <w:szCs w:val="21"/>
              </w:rPr>
            </w:pPr>
            <w:r>
              <w:rPr>
                <w:rFonts w:eastAsiaTheme="minorEastAsia"/>
                <w:szCs w:val="21"/>
              </w:rPr>
              <w:t>2014年12月13-15日</w:t>
            </w:r>
          </w:p>
        </w:tc>
        <w:tc>
          <w:tcPr>
            <w:tcW w:w="709" w:type="dxa"/>
            <w:vAlign w:val="center"/>
          </w:tcPr>
          <w:p>
            <w:pPr>
              <w:adjustRightInd w:val="0"/>
              <w:snapToGrid w:val="0"/>
              <w:spacing w:line="310" w:lineRule="exact"/>
              <w:rPr>
                <w:rFonts w:eastAsiaTheme="minorEastAsia"/>
                <w:szCs w:val="21"/>
              </w:rPr>
            </w:pPr>
            <w:r>
              <w:rPr>
                <w:rFonts w:eastAsiaTheme="minorEastAsia"/>
                <w:szCs w:val="21"/>
              </w:rPr>
              <w:t>150</w:t>
            </w:r>
          </w:p>
        </w:tc>
        <w:tc>
          <w:tcPr>
            <w:tcW w:w="850" w:type="dxa"/>
            <w:vAlign w:val="center"/>
          </w:tcPr>
          <w:p>
            <w:pPr>
              <w:adjustRightInd w:val="0"/>
              <w:snapToGrid w:val="0"/>
              <w:spacing w:line="310" w:lineRule="exact"/>
              <w:rPr>
                <w:rFonts w:eastAsiaTheme="minorEastAsia"/>
                <w:szCs w:val="21"/>
              </w:rPr>
            </w:pPr>
            <w:r>
              <w:rPr>
                <w:rFonts w:eastAsiaTheme="minorEastAsia"/>
                <w:szCs w:val="21"/>
              </w:rPr>
              <w:t>区域性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565" w:type="dxa"/>
            <w:vAlign w:val="center"/>
          </w:tcPr>
          <w:p>
            <w:pPr>
              <w:pStyle w:val="47"/>
              <w:numPr>
                <w:ilvl w:val="0"/>
                <w:numId w:val="3"/>
              </w:numPr>
              <w:adjustRightInd w:val="0"/>
              <w:snapToGrid w:val="0"/>
              <w:spacing w:line="310" w:lineRule="exact"/>
              <w:ind w:right="-313" w:rightChars="-149" w:firstLineChars="0"/>
              <w:jc w:val="center"/>
              <w:rPr>
                <w:rFonts w:eastAsiaTheme="minorEastAsia"/>
                <w:szCs w:val="21"/>
              </w:rPr>
            </w:pPr>
          </w:p>
        </w:tc>
        <w:tc>
          <w:tcPr>
            <w:tcW w:w="2015" w:type="dxa"/>
            <w:vAlign w:val="center"/>
          </w:tcPr>
          <w:p>
            <w:pPr>
              <w:adjustRightInd w:val="0"/>
              <w:snapToGrid w:val="0"/>
              <w:spacing w:line="310" w:lineRule="exact"/>
              <w:rPr>
                <w:rFonts w:eastAsiaTheme="minorEastAsia"/>
                <w:szCs w:val="21"/>
              </w:rPr>
            </w:pPr>
            <w:r>
              <w:rPr>
                <w:rFonts w:hint="eastAsia" w:eastAsiaTheme="minorEastAsia"/>
                <w:szCs w:val="21"/>
              </w:rPr>
              <w:t>2014年广西高等教育学会化学化工类专业委员会</w:t>
            </w:r>
          </w:p>
        </w:tc>
        <w:tc>
          <w:tcPr>
            <w:tcW w:w="2551" w:type="dxa"/>
            <w:vAlign w:val="center"/>
          </w:tcPr>
          <w:p>
            <w:pPr>
              <w:adjustRightInd w:val="0"/>
              <w:snapToGrid w:val="0"/>
              <w:spacing w:line="310" w:lineRule="exact"/>
              <w:rPr>
                <w:rFonts w:eastAsiaTheme="minorEastAsia"/>
                <w:szCs w:val="21"/>
              </w:rPr>
            </w:pPr>
            <w:r>
              <w:rPr>
                <w:rFonts w:eastAsiaTheme="minorEastAsia"/>
                <w:szCs w:val="21"/>
              </w:rPr>
              <w:t>主办：</w:t>
            </w:r>
            <w:r>
              <w:rPr>
                <w:rFonts w:hint="eastAsia" w:eastAsiaTheme="minorEastAsia"/>
                <w:szCs w:val="21"/>
              </w:rPr>
              <w:t>广西高等教育学会化学化工类专业委员会</w:t>
            </w:r>
          </w:p>
          <w:p>
            <w:pPr>
              <w:adjustRightInd w:val="0"/>
              <w:snapToGrid w:val="0"/>
              <w:spacing w:line="310" w:lineRule="exact"/>
              <w:rPr>
                <w:rFonts w:eastAsiaTheme="minorEastAsia"/>
                <w:szCs w:val="21"/>
              </w:rPr>
            </w:pPr>
            <w:r>
              <w:rPr>
                <w:rFonts w:hint="eastAsia" w:eastAsiaTheme="minorEastAsia"/>
                <w:szCs w:val="21"/>
              </w:rPr>
              <w:t>承办：</w:t>
            </w:r>
            <w:r>
              <w:rPr>
                <w:rFonts w:eastAsiaTheme="minorEastAsia"/>
                <w:szCs w:val="21"/>
              </w:rPr>
              <w:t>药用资源化学与药物分子工程重点实验室</w:t>
            </w:r>
          </w:p>
        </w:tc>
        <w:tc>
          <w:tcPr>
            <w:tcW w:w="707" w:type="dxa"/>
            <w:vAlign w:val="center"/>
          </w:tcPr>
          <w:p>
            <w:pPr>
              <w:adjustRightInd w:val="0"/>
              <w:snapToGrid w:val="0"/>
              <w:spacing w:line="310" w:lineRule="exact"/>
              <w:rPr>
                <w:rFonts w:eastAsiaTheme="minorEastAsia"/>
                <w:szCs w:val="21"/>
              </w:rPr>
            </w:pPr>
            <w:r>
              <w:rPr>
                <w:rFonts w:eastAsiaTheme="minorEastAsia"/>
                <w:szCs w:val="21"/>
              </w:rPr>
              <w:t>梁宏</w:t>
            </w:r>
          </w:p>
        </w:tc>
        <w:tc>
          <w:tcPr>
            <w:tcW w:w="1136" w:type="dxa"/>
            <w:vAlign w:val="center"/>
          </w:tcPr>
          <w:p>
            <w:pPr>
              <w:adjustRightInd w:val="0"/>
              <w:snapToGrid w:val="0"/>
              <w:spacing w:line="310" w:lineRule="exact"/>
              <w:rPr>
                <w:rFonts w:eastAsiaTheme="minorEastAsia"/>
                <w:szCs w:val="21"/>
              </w:rPr>
            </w:pPr>
            <w:r>
              <w:rPr>
                <w:rFonts w:eastAsiaTheme="minorEastAsia"/>
                <w:szCs w:val="21"/>
              </w:rPr>
              <w:t>2014年1</w:t>
            </w:r>
            <w:r>
              <w:rPr>
                <w:rFonts w:hint="eastAsia" w:eastAsiaTheme="minorEastAsia"/>
                <w:szCs w:val="21"/>
              </w:rPr>
              <w:t>1</w:t>
            </w:r>
            <w:r>
              <w:rPr>
                <w:rFonts w:eastAsiaTheme="minorEastAsia"/>
                <w:szCs w:val="21"/>
              </w:rPr>
              <w:t>月</w:t>
            </w:r>
            <w:r>
              <w:rPr>
                <w:rFonts w:hint="eastAsia" w:eastAsiaTheme="minorEastAsia"/>
                <w:szCs w:val="21"/>
              </w:rPr>
              <w:t>21</w:t>
            </w:r>
            <w:r>
              <w:rPr>
                <w:rFonts w:eastAsiaTheme="minorEastAsia"/>
                <w:szCs w:val="21"/>
              </w:rPr>
              <w:t>-</w:t>
            </w:r>
            <w:r>
              <w:rPr>
                <w:rFonts w:hint="eastAsia" w:eastAsiaTheme="minorEastAsia"/>
                <w:szCs w:val="21"/>
              </w:rPr>
              <w:t>23</w:t>
            </w:r>
            <w:r>
              <w:rPr>
                <w:rFonts w:eastAsiaTheme="minorEastAsia"/>
                <w:szCs w:val="21"/>
              </w:rPr>
              <w:t>日</w:t>
            </w:r>
          </w:p>
        </w:tc>
        <w:tc>
          <w:tcPr>
            <w:tcW w:w="709" w:type="dxa"/>
            <w:vAlign w:val="center"/>
          </w:tcPr>
          <w:p>
            <w:pPr>
              <w:adjustRightInd w:val="0"/>
              <w:snapToGrid w:val="0"/>
              <w:spacing w:line="310" w:lineRule="exact"/>
              <w:rPr>
                <w:rFonts w:eastAsiaTheme="minorEastAsia"/>
                <w:szCs w:val="21"/>
              </w:rPr>
            </w:pPr>
            <w:r>
              <w:rPr>
                <w:rFonts w:hint="eastAsia" w:eastAsiaTheme="minorEastAsia"/>
                <w:szCs w:val="21"/>
              </w:rPr>
              <w:t>143</w:t>
            </w:r>
          </w:p>
        </w:tc>
        <w:tc>
          <w:tcPr>
            <w:tcW w:w="850" w:type="dxa"/>
            <w:vAlign w:val="center"/>
          </w:tcPr>
          <w:p>
            <w:pPr>
              <w:adjustRightInd w:val="0"/>
              <w:snapToGrid w:val="0"/>
              <w:spacing w:line="310" w:lineRule="exact"/>
              <w:rPr>
                <w:rFonts w:eastAsiaTheme="minorEastAsia"/>
                <w:szCs w:val="21"/>
              </w:rPr>
            </w:pPr>
            <w:r>
              <w:rPr>
                <w:rFonts w:eastAsiaTheme="minorEastAsia"/>
                <w:szCs w:val="21"/>
              </w:rPr>
              <w:t>区域性</w:t>
            </w:r>
          </w:p>
        </w:tc>
      </w:tr>
    </w:tbl>
    <w:p>
      <w:pPr>
        <w:adjustRightInd w:val="0"/>
        <w:snapToGrid w:val="0"/>
        <w:ind w:firstLine="420" w:firstLineChars="200"/>
        <w:rPr>
          <w:rFonts w:eastAsia="黑体"/>
          <w:b/>
          <w:sz w:val="24"/>
          <w:szCs w:val="24"/>
        </w:rPr>
      </w:pPr>
      <w:r>
        <w:rPr>
          <w:rFonts w:eastAsia="楷体_GB2312"/>
          <w:szCs w:val="24"/>
        </w:rPr>
        <w:t>注：请按全球性、地区性、双边性、全国性等类别排序，并在类别栏中注明。</w:t>
      </w:r>
    </w:p>
    <w:p>
      <w:pPr>
        <w:widowControl/>
        <w:ind w:firstLine="482" w:firstLineChars="200"/>
        <w:jc w:val="left"/>
        <w:rPr>
          <w:rFonts w:eastAsia="楷体_GB2312"/>
          <w:sz w:val="28"/>
          <w:szCs w:val="24"/>
        </w:rPr>
      </w:pPr>
      <w:r>
        <w:rPr>
          <w:rFonts w:eastAsia="黑体"/>
          <w:b/>
          <w:sz w:val="24"/>
          <w:szCs w:val="24"/>
        </w:rPr>
        <w:br w:type="page"/>
      </w:r>
      <w:r>
        <w:rPr>
          <w:rFonts w:eastAsia="黑体"/>
          <w:b/>
          <w:sz w:val="24"/>
          <w:szCs w:val="24"/>
        </w:rPr>
        <w:t>（3）国内外学术交流与合作情况</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7" w:hRule="atLeast"/>
        </w:trPr>
        <w:tc>
          <w:tcPr>
            <w:tcW w:w="8522" w:type="dxa"/>
          </w:tcPr>
          <w:p>
            <w:pPr>
              <w:adjustRightInd w:val="0"/>
              <w:snapToGrid w:val="0"/>
              <w:ind w:firstLine="480" w:firstLineChars="200"/>
              <w:rPr>
                <w:rFonts w:eastAsia="楷体_GB2312"/>
                <w:sz w:val="24"/>
                <w:szCs w:val="24"/>
              </w:rPr>
            </w:pPr>
            <w:r>
              <w:rPr>
                <w:rFonts w:eastAsia="楷体_GB2312"/>
                <w:sz w:val="24"/>
                <w:szCs w:val="24"/>
              </w:rPr>
              <w:t>请列出实验室人员国内外学术交流与合作的主要活动，包括与国外研究机构共建实验室、承担重大国际合作项目或机构建设、参与国际重大科研计划、在国际重要学术会议做特邀报告的情况。请按国内合作与国际合作分类填写。（600字以内）</w:t>
            </w:r>
          </w:p>
          <w:p>
            <w:pPr>
              <w:adjustRightInd w:val="0"/>
              <w:snapToGrid w:val="0"/>
              <w:ind w:firstLine="480" w:firstLineChars="200"/>
              <w:rPr>
                <w:rFonts w:asciiTheme="minorEastAsia" w:hAnsiTheme="minorEastAsia" w:eastAsiaTheme="minorEastAsia"/>
                <w:sz w:val="24"/>
                <w:szCs w:val="24"/>
              </w:rPr>
            </w:pPr>
          </w:p>
          <w:p>
            <w:pPr>
              <w:adjustRightInd w:val="0"/>
              <w:snapToGrid w:val="0"/>
              <w:spacing w:before="156" w:beforeLines="50" w:line="360" w:lineRule="auto"/>
              <w:ind w:firstLine="480" w:firstLineChars="200"/>
              <w:rPr>
                <w:rFonts w:eastAsiaTheme="minorEastAsia"/>
                <w:sz w:val="24"/>
                <w:szCs w:val="24"/>
              </w:rPr>
            </w:pPr>
            <w:r>
              <w:rPr>
                <w:rFonts w:hint="eastAsia" w:eastAsiaTheme="minorEastAsia"/>
                <w:sz w:val="24"/>
                <w:szCs w:val="24"/>
              </w:rPr>
              <w:t>巴基斯坦是我国“一带一路”战略上的重要合作伙伴国，2017年11月，实验室经过与巴基斯坦卡拉奇大学化学与生物科学国际中心(ICCBS)在合作研究、人才培养、双边国际合作项目申报、联合举办学术会议等方面达成了共识，并签署了合作共建“中国-巴基斯坦药用资源化学与药物分子工程国际联合实验室（简称中巴国际联合实验室）”战略合作协议，并在实验室</w:t>
            </w:r>
            <w:r>
              <w:rPr>
                <w:rFonts w:eastAsiaTheme="minorEastAsia"/>
                <w:sz w:val="24"/>
                <w:szCs w:val="24"/>
              </w:rPr>
              <w:t>2018年度学术年会上举行了简单的揭牌仪式，</w:t>
            </w:r>
            <w:r>
              <w:rPr>
                <w:rFonts w:hint="eastAsia" w:eastAsiaTheme="minorEastAsia"/>
                <w:sz w:val="24"/>
                <w:szCs w:val="24"/>
              </w:rPr>
              <w:t>中巴国际联合实验室的共建将会进一步加强中巴的文化、教育、科技的交流合作。目前联合培养博士2人、访问学者2人，自主设置开放合作项目2项。目前已</w:t>
            </w:r>
            <w:r>
              <w:rPr>
                <w:rFonts w:eastAsiaTheme="minorEastAsia"/>
                <w:sz w:val="24"/>
                <w:szCs w:val="24"/>
              </w:rPr>
              <w:t>形成稳定的合作与交流机制，</w:t>
            </w:r>
            <w:r>
              <w:rPr>
                <w:rFonts w:hint="eastAsia" w:eastAsiaTheme="minorEastAsia"/>
                <w:sz w:val="24"/>
                <w:szCs w:val="24"/>
              </w:rPr>
              <w:t>取得了一定的成效，中巴</w:t>
            </w:r>
            <w:r>
              <w:rPr>
                <w:rFonts w:eastAsiaTheme="minorEastAsia"/>
                <w:sz w:val="24"/>
                <w:szCs w:val="24"/>
              </w:rPr>
              <w:t>合作</w:t>
            </w:r>
            <w:r>
              <w:rPr>
                <w:rFonts w:hint="eastAsia" w:eastAsiaTheme="minorEastAsia"/>
                <w:sz w:val="24"/>
                <w:szCs w:val="24"/>
              </w:rPr>
              <w:t>讲</w:t>
            </w:r>
            <w:r>
              <w:rPr>
                <w:rFonts w:eastAsiaTheme="minorEastAsia"/>
                <w:sz w:val="24"/>
                <w:szCs w:val="24"/>
              </w:rPr>
              <w:t>结出丰硕的成果！</w:t>
            </w:r>
          </w:p>
          <w:p>
            <w:pPr>
              <w:adjustRightInd w:val="0"/>
              <w:snapToGrid w:val="0"/>
              <w:spacing w:before="156" w:beforeLines="50" w:line="360" w:lineRule="auto"/>
              <w:ind w:firstLine="480" w:firstLineChars="200"/>
              <w:rPr>
                <w:rFonts w:eastAsiaTheme="minorEastAsia"/>
                <w:sz w:val="24"/>
                <w:szCs w:val="24"/>
              </w:rPr>
            </w:pPr>
            <w:r>
              <w:rPr>
                <w:rFonts w:eastAsiaTheme="minorEastAsia"/>
                <w:sz w:val="24"/>
                <w:szCs w:val="24"/>
              </w:rPr>
              <w:t>近5年来邀请了</w:t>
            </w:r>
            <w:r>
              <w:rPr>
                <w:rFonts w:hint="eastAsia" w:eastAsiaTheme="minorEastAsia"/>
                <w:sz w:val="24"/>
                <w:szCs w:val="24"/>
              </w:rPr>
              <w:t>英国皇家科学院院士Peter J. Sadle教授、法国科学院院士Bernard MEUNIER教授、澳大利亚科学院院士Hambley Trevor教授、加拿大不列颠哥伦比亚大学Chris Orvig 教授、美国南加州大学John Dawson教授</w:t>
            </w:r>
            <w:r>
              <w:rPr>
                <w:rFonts w:eastAsiaTheme="minorEastAsia"/>
                <w:sz w:val="24"/>
                <w:szCs w:val="24"/>
              </w:rPr>
              <w:t>等</w:t>
            </w:r>
            <w:r>
              <w:rPr>
                <w:rFonts w:hint="eastAsia" w:eastAsiaTheme="minorEastAsia"/>
                <w:sz w:val="24"/>
                <w:szCs w:val="24"/>
              </w:rPr>
              <w:t>200余</w:t>
            </w:r>
            <w:r>
              <w:rPr>
                <w:rFonts w:eastAsiaTheme="minorEastAsia"/>
                <w:sz w:val="24"/>
                <w:szCs w:val="24"/>
              </w:rPr>
              <w:t>位国内外知名专家学者到重点实验室进行学术交流，</w:t>
            </w:r>
            <w:r>
              <w:rPr>
                <w:rFonts w:hint="eastAsia" w:eastAsiaTheme="minorEastAsia"/>
                <w:sz w:val="24"/>
                <w:szCs w:val="24"/>
              </w:rPr>
              <w:t>并成功举办了</w:t>
            </w:r>
            <w:r>
              <w:rPr>
                <w:rFonts w:eastAsiaTheme="minorEastAsia"/>
                <w:sz w:val="24"/>
                <w:szCs w:val="24"/>
              </w:rPr>
              <w:t>151</w:t>
            </w:r>
            <w:r>
              <w:rPr>
                <w:rFonts w:hint="eastAsia" w:eastAsiaTheme="minorEastAsia"/>
                <w:sz w:val="24"/>
                <w:szCs w:val="24"/>
              </w:rPr>
              <w:t>场专题</w:t>
            </w:r>
            <w:r>
              <w:rPr>
                <w:rFonts w:eastAsiaTheme="minorEastAsia"/>
                <w:sz w:val="24"/>
                <w:szCs w:val="24"/>
              </w:rPr>
              <w:t>学术报告，听众超过</w:t>
            </w:r>
            <w:r>
              <w:rPr>
                <w:rFonts w:hint="eastAsia" w:eastAsiaTheme="minorEastAsia"/>
                <w:sz w:val="24"/>
                <w:szCs w:val="24"/>
              </w:rPr>
              <w:t>100</w:t>
            </w:r>
            <w:r>
              <w:rPr>
                <w:rFonts w:eastAsiaTheme="minorEastAsia"/>
                <w:sz w:val="24"/>
                <w:szCs w:val="24"/>
              </w:rPr>
              <w:t>00人次。</w:t>
            </w:r>
          </w:p>
          <w:p>
            <w:pPr>
              <w:spacing w:before="156" w:beforeLines="50" w:line="360" w:lineRule="auto"/>
              <w:ind w:firstLine="480" w:firstLineChars="200"/>
              <w:rPr>
                <w:rFonts w:eastAsiaTheme="minorEastAsia"/>
                <w:sz w:val="24"/>
                <w:szCs w:val="24"/>
              </w:rPr>
            </w:pPr>
            <w:r>
              <w:rPr>
                <w:rFonts w:eastAsiaTheme="minorEastAsia"/>
                <w:sz w:val="24"/>
                <w:szCs w:val="24"/>
              </w:rPr>
              <w:t>近五年来，随着实验室</w:t>
            </w:r>
            <w:r>
              <w:rPr>
                <w:rFonts w:hint="eastAsia" w:eastAsiaTheme="minorEastAsia"/>
                <w:sz w:val="24"/>
                <w:szCs w:val="24"/>
              </w:rPr>
              <w:t>研究成果在国内外产生了良好的学术影响，实验室研究人员应邀撰写综述论文</w:t>
            </w:r>
            <w:r>
              <w:rPr>
                <w:rFonts w:hint="eastAsia" w:eastAsiaTheme="minorEastAsia"/>
                <w:bCs/>
                <w:sz w:val="24"/>
                <w:szCs w:val="24"/>
              </w:rPr>
              <w:t>10</w:t>
            </w:r>
            <w:r>
              <w:rPr>
                <w:rFonts w:hint="eastAsia" w:eastAsiaTheme="minorEastAsia"/>
                <w:sz w:val="24"/>
                <w:szCs w:val="24"/>
              </w:rPr>
              <w:t>多篇，</w:t>
            </w:r>
            <w:r>
              <w:rPr>
                <w:rFonts w:eastAsiaTheme="minorEastAsia"/>
                <w:sz w:val="24"/>
                <w:szCs w:val="24"/>
              </w:rPr>
              <w:t>受邀</w:t>
            </w:r>
            <w:r>
              <w:rPr>
                <w:rFonts w:hint="eastAsia" w:eastAsiaTheme="minorEastAsia"/>
                <w:sz w:val="24"/>
                <w:szCs w:val="24"/>
              </w:rPr>
              <w:t>在重要国际学术会议作报告报告</w:t>
            </w:r>
            <w:r>
              <w:rPr>
                <w:rFonts w:hint="eastAsia" w:eastAsiaTheme="minorEastAsia"/>
                <w:bCs/>
                <w:sz w:val="24"/>
                <w:szCs w:val="24"/>
              </w:rPr>
              <w:t>55</w:t>
            </w:r>
            <w:r>
              <w:rPr>
                <w:rFonts w:hint="eastAsia" w:eastAsiaTheme="minorEastAsia"/>
                <w:sz w:val="24"/>
                <w:szCs w:val="24"/>
              </w:rPr>
              <w:t>人次，其中包括大会报告2人次、</w:t>
            </w:r>
            <w:r>
              <w:rPr>
                <w:rFonts w:eastAsiaTheme="minorEastAsia"/>
                <w:sz w:val="24"/>
                <w:szCs w:val="24"/>
              </w:rPr>
              <w:t>邀请报告</w:t>
            </w:r>
            <w:r>
              <w:rPr>
                <w:rFonts w:hint="eastAsia" w:eastAsiaTheme="minorEastAsia"/>
                <w:sz w:val="24"/>
                <w:szCs w:val="24"/>
              </w:rPr>
              <w:t>39人次、口头报告13人次，从而进一步提升了实验室的国际</w:t>
            </w:r>
            <w:r>
              <w:rPr>
                <w:rFonts w:eastAsiaTheme="minorEastAsia"/>
                <w:sz w:val="24"/>
                <w:szCs w:val="24"/>
              </w:rPr>
              <w:t>影响力。</w:t>
            </w:r>
          </w:p>
          <w:p>
            <w:pPr>
              <w:adjustRightInd w:val="0"/>
              <w:snapToGrid w:val="0"/>
              <w:spacing w:line="276" w:lineRule="auto"/>
              <w:ind w:firstLine="480" w:firstLineChars="200"/>
              <w:rPr>
                <w:rFonts w:asciiTheme="minorEastAsia" w:hAnsiTheme="minorEastAsia" w:eastAsiaTheme="minorEastAsia"/>
                <w:sz w:val="24"/>
                <w:szCs w:val="24"/>
              </w:rPr>
            </w:pPr>
          </w:p>
          <w:p>
            <w:pPr>
              <w:adjustRightInd w:val="0"/>
              <w:snapToGrid w:val="0"/>
              <w:ind w:firstLine="480" w:firstLineChars="200"/>
              <w:rPr>
                <w:rFonts w:eastAsia="楷体_GB2312"/>
                <w:sz w:val="24"/>
                <w:szCs w:val="24"/>
              </w:rPr>
            </w:pPr>
          </w:p>
        </w:tc>
      </w:tr>
    </w:tbl>
    <w:p>
      <w:pPr>
        <w:adjustRightInd w:val="0"/>
        <w:snapToGrid w:val="0"/>
        <w:spacing w:line="360" w:lineRule="auto"/>
        <w:rPr>
          <w:rFonts w:eastAsia="黑体"/>
          <w:b/>
          <w:sz w:val="24"/>
          <w:szCs w:val="24"/>
        </w:rPr>
      </w:pPr>
    </w:p>
    <w:p>
      <w:pPr>
        <w:adjustRightInd w:val="0"/>
        <w:snapToGrid w:val="0"/>
        <w:spacing w:line="360" w:lineRule="auto"/>
        <w:rPr>
          <w:rFonts w:eastAsia="黑体"/>
          <w:b/>
          <w:sz w:val="24"/>
          <w:szCs w:val="24"/>
        </w:rPr>
      </w:pPr>
    </w:p>
    <w:p>
      <w:pPr>
        <w:widowControl/>
        <w:jc w:val="left"/>
        <w:rPr>
          <w:rFonts w:eastAsia="黑体"/>
          <w:b/>
          <w:sz w:val="24"/>
          <w:szCs w:val="24"/>
        </w:rPr>
      </w:pPr>
      <w:r>
        <w:rPr>
          <w:rFonts w:eastAsia="黑体"/>
          <w:b/>
          <w:sz w:val="24"/>
          <w:szCs w:val="24"/>
        </w:rPr>
        <w:br w:type="page"/>
      </w:r>
    </w:p>
    <w:p>
      <w:pPr>
        <w:adjustRightInd w:val="0"/>
        <w:snapToGrid w:val="0"/>
        <w:spacing w:line="360" w:lineRule="auto"/>
        <w:ind w:firstLine="482" w:firstLineChars="200"/>
        <w:rPr>
          <w:rFonts w:eastAsia="黑体"/>
          <w:b/>
          <w:sz w:val="24"/>
          <w:szCs w:val="24"/>
        </w:rPr>
      </w:pPr>
      <w:r>
        <w:rPr>
          <w:rFonts w:eastAsia="黑体"/>
          <w:b/>
          <w:sz w:val="24"/>
          <w:szCs w:val="24"/>
        </w:rPr>
        <w:t>（4）科学传播</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5" w:hRule="atLeast"/>
        </w:trPr>
        <w:tc>
          <w:tcPr>
            <w:tcW w:w="8522" w:type="dxa"/>
          </w:tcPr>
          <w:p>
            <w:pPr>
              <w:adjustRightInd w:val="0"/>
              <w:snapToGrid w:val="0"/>
              <w:ind w:firstLine="480" w:firstLineChars="200"/>
              <w:rPr>
                <w:rFonts w:eastAsia="楷体_GB2312"/>
                <w:sz w:val="24"/>
                <w:szCs w:val="24"/>
              </w:rPr>
            </w:pPr>
            <w:r>
              <w:rPr>
                <w:rFonts w:eastAsia="楷体_GB2312"/>
                <w:sz w:val="24"/>
                <w:szCs w:val="24"/>
              </w:rPr>
              <w:t>简述实验室开展科学传播的举措和效果。（500字以内）</w:t>
            </w:r>
          </w:p>
          <w:p>
            <w:pPr>
              <w:adjustRightInd w:val="0"/>
              <w:snapToGrid w:val="0"/>
              <w:ind w:firstLine="480" w:firstLineChars="200"/>
              <w:rPr>
                <w:rFonts w:eastAsia="楷体_GB2312"/>
                <w:sz w:val="24"/>
                <w:szCs w:val="24"/>
              </w:rPr>
            </w:pPr>
          </w:p>
          <w:p>
            <w:pPr>
              <w:widowControl/>
              <w:spacing w:before="156" w:beforeLines="50" w:line="360" w:lineRule="auto"/>
              <w:ind w:firstLine="480" w:firstLineChars="200"/>
              <w:jc w:val="left"/>
              <w:rPr>
                <w:rFonts w:eastAsiaTheme="minorEastAsia"/>
                <w:sz w:val="24"/>
                <w:szCs w:val="24"/>
              </w:rPr>
            </w:pPr>
            <w:r>
              <w:rPr>
                <w:rFonts w:eastAsiaTheme="minorEastAsia"/>
                <w:sz w:val="24"/>
                <w:szCs w:val="24"/>
              </w:rPr>
              <w:t>本实验室作为广西药学与化学领域重要的教学、科研、</w:t>
            </w:r>
            <w:r>
              <w:rPr>
                <w:rFonts w:hint="eastAsia" w:eastAsiaTheme="minorEastAsia"/>
                <w:sz w:val="24"/>
                <w:szCs w:val="24"/>
              </w:rPr>
              <w:t>学术</w:t>
            </w:r>
            <w:r>
              <w:rPr>
                <w:rFonts w:eastAsiaTheme="minorEastAsia"/>
                <w:sz w:val="24"/>
                <w:szCs w:val="24"/>
              </w:rPr>
              <w:t>交流基地</w:t>
            </w:r>
            <w:r>
              <w:rPr>
                <w:rFonts w:hint="eastAsia" w:eastAsiaTheme="minorEastAsia"/>
                <w:sz w:val="24"/>
                <w:szCs w:val="24"/>
              </w:rPr>
              <w:t>以及</w:t>
            </w:r>
            <w:r>
              <w:rPr>
                <w:rFonts w:eastAsiaTheme="minorEastAsia"/>
                <w:sz w:val="24"/>
                <w:szCs w:val="24"/>
              </w:rPr>
              <w:t>服务</w:t>
            </w:r>
            <w:r>
              <w:rPr>
                <w:rFonts w:hint="eastAsia" w:eastAsiaTheme="minorEastAsia"/>
                <w:sz w:val="24"/>
                <w:szCs w:val="24"/>
              </w:rPr>
              <w:t>广西大健康产业</w:t>
            </w:r>
            <w:r>
              <w:rPr>
                <w:rFonts w:eastAsiaTheme="minorEastAsia"/>
                <w:sz w:val="24"/>
                <w:szCs w:val="24"/>
              </w:rPr>
              <w:t>公共</w:t>
            </w:r>
            <w:r>
              <w:rPr>
                <w:rFonts w:hint="eastAsia" w:eastAsiaTheme="minorEastAsia"/>
                <w:sz w:val="24"/>
                <w:szCs w:val="24"/>
              </w:rPr>
              <w:t>技术和学术支撑</w:t>
            </w:r>
            <w:r>
              <w:rPr>
                <w:rFonts w:eastAsiaTheme="minorEastAsia"/>
                <w:sz w:val="24"/>
                <w:szCs w:val="24"/>
              </w:rPr>
              <w:t>平台，不仅面向依托单位相关学科师生开放，也</w:t>
            </w:r>
            <w:r>
              <w:rPr>
                <w:rFonts w:hint="eastAsia" w:eastAsiaTheme="minorEastAsia"/>
                <w:sz w:val="24"/>
                <w:szCs w:val="24"/>
              </w:rPr>
              <w:t>接受</w:t>
            </w:r>
            <w:r>
              <w:rPr>
                <w:rFonts w:eastAsiaTheme="minorEastAsia"/>
                <w:sz w:val="24"/>
                <w:szCs w:val="24"/>
              </w:rPr>
              <w:t>来自广西、全国乃至国外科研工作者，包括专家、学者和留学生等考察访问</w:t>
            </w:r>
            <w:r>
              <w:rPr>
                <w:rFonts w:hint="eastAsia" w:eastAsiaTheme="minorEastAsia"/>
                <w:sz w:val="24"/>
                <w:szCs w:val="24"/>
              </w:rPr>
              <w:t>和交流</w:t>
            </w:r>
            <w:r>
              <w:rPr>
                <w:rFonts w:eastAsiaTheme="minorEastAsia"/>
                <w:sz w:val="24"/>
                <w:szCs w:val="24"/>
              </w:rPr>
              <w:t>。接待了包括</w:t>
            </w:r>
            <w:r>
              <w:rPr>
                <w:rFonts w:hint="eastAsia" w:eastAsiaTheme="minorEastAsia"/>
                <w:sz w:val="24"/>
                <w:szCs w:val="24"/>
              </w:rPr>
              <w:t>原</w:t>
            </w:r>
            <w:r>
              <w:rPr>
                <w:rFonts w:eastAsiaTheme="minorEastAsia"/>
                <w:sz w:val="24"/>
                <w:szCs w:val="24"/>
              </w:rPr>
              <w:t>广西自治区党委书记彭清华等领导的视察和指导；接待了包括巴基斯坦卡拉奇大学等单位150余人的参观。实验室的开放，为公众展示了实验室的最新科研成果和前沿科技动态，可为提升实验室的影响力和科技辐射起到了重要作用，有利于建立更广泛的科研联盟，也使广大群众在一系列创新科普活动中得到学习，提升了实验室的公共服务能力，也为积极开展广泛的多边交流与合作增加了机会。</w:t>
            </w:r>
          </w:p>
          <w:p>
            <w:pPr>
              <w:adjustRightInd w:val="0"/>
              <w:snapToGrid w:val="0"/>
              <w:spacing w:before="50" w:line="360" w:lineRule="auto"/>
              <w:ind w:firstLine="480" w:firstLineChars="200"/>
              <w:rPr>
                <w:rFonts w:eastAsiaTheme="minorEastAsia"/>
                <w:sz w:val="24"/>
                <w:szCs w:val="24"/>
              </w:rPr>
            </w:pPr>
            <w:r>
              <w:rPr>
                <w:rFonts w:hint="eastAsia" w:eastAsiaTheme="minorEastAsia"/>
                <w:sz w:val="24"/>
                <w:szCs w:val="24"/>
              </w:rPr>
              <w:t>科普作为科技和教育的一个交叉环节，越来越受到国家政府和社会的重视。为了响应国家推动科普教育面向社会的号召，实验室经常组织科普团队到桂林市区及周边乡镇小学开展科普活动。先后到桂林一中、卓然小学、阳朔兴坪西山小学、马岭镇中小学等学校，“科普进校园”活动，在带队老师的带领下，队员们以讲解PPT、实验操作展示、调查报告等的形式，采取课堂科学知识原理讲解与展示为中小学生上课。通过“大象牙膏”、“可乐变雪碧”、“枯枝逢生"等有趣的化学实验向学生们展示了化学科学的魅力，使他们能够近距离观察到科学现象所表达的无穷魅力。</w:t>
            </w:r>
          </w:p>
          <w:p>
            <w:pPr>
              <w:adjustRightInd w:val="0"/>
              <w:snapToGrid w:val="0"/>
              <w:spacing w:line="360" w:lineRule="auto"/>
              <w:ind w:firstLine="643" w:firstLineChars="200"/>
              <w:rPr>
                <w:rFonts w:eastAsia="黑体"/>
                <w:b/>
                <w:sz w:val="32"/>
                <w:szCs w:val="24"/>
              </w:rPr>
            </w:pPr>
          </w:p>
        </w:tc>
      </w:tr>
    </w:tbl>
    <w:p>
      <w:pPr>
        <w:adjustRightInd w:val="0"/>
        <w:snapToGrid w:val="0"/>
        <w:spacing w:line="360" w:lineRule="auto"/>
        <w:ind w:firstLine="643" w:firstLineChars="200"/>
        <w:rPr>
          <w:rFonts w:eastAsia="黑体"/>
          <w:b/>
          <w:sz w:val="32"/>
          <w:szCs w:val="24"/>
        </w:rPr>
      </w:pPr>
    </w:p>
    <w:p>
      <w:pPr>
        <w:widowControl/>
        <w:jc w:val="left"/>
        <w:rPr>
          <w:rFonts w:eastAsia="黑体"/>
          <w:b/>
          <w:sz w:val="32"/>
          <w:szCs w:val="24"/>
        </w:rPr>
      </w:pPr>
      <w:r>
        <w:rPr>
          <w:rFonts w:eastAsia="黑体"/>
          <w:b/>
          <w:sz w:val="32"/>
          <w:szCs w:val="24"/>
        </w:rPr>
        <w:br w:type="page"/>
      </w:r>
    </w:p>
    <w:p>
      <w:pPr>
        <w:adjustRightInd w:val="0"/>
        <w:snapToGrid w:val="0"/>
        <w:spacing w:line="360" w:lineRule="auto"/>
        <w:ind w:firstLine="643" w:firstLineChars="200"/>
        <w:rPr>
          <w:rFonts w:eastAsia="黑体"/>
          <w:b/>
          <w:sz w:val="28"/>
          <w:szCs w:val="24"/>
        </w:rPr>
      </w:pPr>
      <w:r>
        <w:rPr>
          <w:rFonts w:eastAsia="黑体"/>
          <w:b/>
          <w:sz w:val="32"/>
          <w:szCs w:val="24"/>
        </w:rPr>
        <w:t>2</w:t>
      </w:r>
      <w:r>
        <w:rPr>
          <w:rFonts w:eastAsia="黑体"/>
          <w:b/>
          <w:sz w:val="28"/>
          <w:szCs w:val="24"/>
        </w:rPr>
        <w:t>、运行管理</w:t>
      </w:r>
    </w:p>
    <w:p>
      <w:pPr>
        <w:adjustRightInd w:val="0"/>
        <w:snapToGrid w:val="0"/>
        <w:spacing w:line="360" w:lineRule="auto"/>
        <w:ind w:firstLine="482" w:firstLineChars="200"/>
        <w:rPr>
          <w:rFonts w:eastAsia="黑体"/>
          <w:b/>
          <w:sz w:val="24"/>
          <w:szCs w:val="24"/>
        </w:rPr>
      </w:pPr>
      <w:r>
        <w:rPr>
          <w:rFonts w:eastAsia="黑体"/>
          <w:b/>
          <w:sz w:val="24"/>
          <w:szCs w:val="24"/>
        </w:rPr>
        <w:t>（1）实验室内部管理情况</w:t>
      </w:r>
    </w:p>
    <w:tbl>
      <w:tblPr>
        <w:tblStyle w:val="15"/>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31" w:hRule="atLeast"/>
          <w:jc w:val="center"/>
        </w:trPr>
        <w:tc>
          <w:tcPr>
            <w:tcW w:w="8528" w:type="dxa"/>
          </w:tcPr>
          <w:p>
            <w:pPr>
              <w:adjustRightInd w:val="0"/>
              <w:snapToGrid w:val="0"/>
              <w:spacing w:before="156" w:beforeLines="50"/>
              <w:ind w:firstLine="480" w:firstLineChars="200"/>
              <w:rPr>
                <w:rFonts w:eastAsia="楷体_GB2312"/>
                <w:sz w:val="24"/>
                <w:szCs w:val="24"/>
              </w:rPr>
            </w:pPr>
            <w:r>
              <w:rPr>
                <w:rFonts w:eastAsia="楷体_GB2312"/>
                <w:sz w:val="24"/>
                <w:szCs w:val="24"/>
              </w:rPr>
              <w:t>请简要介绍实验室内部规章制度建设、网站建设、日常管理工作、自主研究选题情况、学术委员会作用，实验室科研氛围和学术风气</w:t>
            </w:r>
            <w:r>
              <w:rPr>
                <w:rFonts w:hint="eastAsia" w:eastAsia="楷体_GB2312"/>
                <w:sz w:val="24"/>
                <w:szCs w:val="24"/>
              </w:rPr>
              <w:t>。在评估期内，如有违反学术道德或发生重大安全事故等情况，请予以说明。</w:t>
            </w:r>
            <w:r>
              <w:rPr>
                <w:rFonts w:eastAsia="楷体_GB2312"/>
                <w:sz w:val="24"/>
                <w:szCs w:val="24"/>
              </w:rPr>
              <w:t>（600字以内）</w:t>
            </w:r>
          </w:p>
          <w:p>
            <w:pPr>
              <w:widowControl/>
              <w:spacing w:before="156" w:beforeLines="50" w:line="360" w:lineRule="auto"/>
              <w:ind w:firstLine="480" w:firstLineChars="200"/>
              <w:jc w:val="left"/>
              <w:rPr>
                <w:rFonts w:eastAsiaTheme="minorEastAsia"/>
                <w:sz w:val="24"/>
                <w:szCs w:val="24"/>
              </w:rPr>
            </w:pPr>
            <w:r>
              <w:rPr>
                <w:rFonts w:hint="eastAsia" w:eastAsiaTheme="minorEastAsia"/>
                <w:sz w:val="24"/>
                <w:szCs w:val="24"/>
              </w:rPr>
              <w:t>实验室建立运行以来，始终坚持遵照《教育部重点实验室建设与管理办法》的要求，坚持“开放、流动、联合、竞争”的运行机制，创造良好的科学研究条件和学术环境，使实验室成为吸引国内外优秀学者来实验室进行高水平学术研究的平台。此外，实验室根据自身特点制定了和完善了系列规章制度，包括《实验室管理办法》、《学术道德管理条例》、《仪器设备开放运行管理办法》、《客座人员与开放课题管理办法》等系列管理办法，运行良好，建设成效显著。</w:t>
            </w:r>
          </w:p>
          <w:p>
            <w:pPr>
              <w:widowControl/>
              <w:spacing w:before="156" w:beforeLines="50" w:line="360" w:lineRule="auto"/>
              <w:ind w:firstLine="480" w:firstLineChars="200"/>
              <w:jc w:val="left"/>
              <w:rPr>
                <w:rFonts w:eastAsiaTheme="minorEastAsia"/>
                <w:sz w:val="24"/>
                <w:szCs w:val="24"/>
              </w:rPr>
            </w:pPr>
            <w:r>
              <w:rPr>
                <w:rFonts w:hint="eastAsia" w:eastAsiaTheme="minorEastAsia"/>
                <w:sz w:val="24"/>
                <w:szCs w:val="24"/>
              </w:rPr>
              <w:t>实验室严格落实实验室主任负责制，配备专职秘书；</w:t>
            </w:r>
            <w:r>
              <w:rPr>
                <w:rFonts w:eastAsiaTheme="minorEastAsia"/>
                <w:sz w:val="24"/>
                <w:szCs w:val="24"/>
              </w:rPr>
              <w:t>现设实验室主任1名，副主任3名；学术委员会主任1名，副主任2名；实验室行政秘书和学术秘书各1名。</w:t>
            </w:r>
            <w:r>
              <w:rPr>
                <w:rFonts w:hint="eastAsia" w:eastAsiaTheme="minorEastAsia"/>
                <w:sz w:val="24"/>
                <w:szCs w:val="24"/>
              </w:rPr>
              <w:t>实验室主任管理室日常事务，重大事项由集体讨论决定，由主任聘任骨干人员。实验室领导班子和学术委员会在工作中密切配合，充分发挥二者的作用。学术委员会每年举行一次，由实验室主任向学术委员会汇报年度实验室活动、科研课题进展、实验室经费收支和申请课题等情况。学术委员会围绕实验室的研究方向、研究工作进展等议程进行讨论，审议开放课题。学术委员会为实验室的发展方向和运行管理、人才队伍建设等重大问题提出意见和建议，给予了大力支持和帮助，促进了在开放、交流、运行、管理方面的快速提升。</w:t>
            </w:r>
          </w:p>
          <w:p>
            <w:pPr>
              <w:widowControl/>
              <w:spacing w:before="156" w:beforeLines="50" w:line="360" w:lineRule="auto"/>
              <w:ind w:firstLine="480" w:firstLineChars="200"/>
              <w:jc w:val="left"/>
              <w:rPr>
                <w:rFonts w:eastAsiaTheme="minorEastAsia"/>
                <w:sz w:val="24"/>
                <w:szCs w:val="24"/>
              </w:rPr>
            </w:pPr>
            <w:r>
              <w:rPr>
                <w:rFonts w:hint="eastAsia" w:eastAsiaTheme="minorEastAsia"/>
                <w:sz w:val="24"/>
                <w:szCs w:val="24"/>
              </w:rPr>
              <w:t>围绕总体目标和方向，实验室始终坚持“老中青”相结合，形成人才梯队，加强思想教育，体现奉献精神。实验室长期坚持定期学术年会制度，积极主办承办有影响大型学术报告会，营造了奋发向上的工作氛围和良好的学术风气，无违反学术道德的事件发生，无重大安全事故发生。</w:t>
            </w:r>
          </w:p>
          <w:p>
            <w:pPr>
              <w:widowControl/>
              <w:spacing w:before="156" w:beforeLines="50" w:line="276" w:lineRule="auto"/>
              <w:ind w:firstLine="480" w:firstLineChars="200"/>
              <w:jc w:val="left"/>
              <w:rPr>
                <w:rFonts w:eastAsia="楷体_GB2312"/>
                <w:sz w:val="24"/>
                <w:szCs w:val="24"/>
              </w:rPr>
            </w:pPr>
          </w:p>
        </w:tc>
      </w:tr>
    </w:tbl>
    <w:p>
      <w:pPr>
        <w:adjustRightInd w:val="0"/>
        <w:snapToGrid w:val="0"/>
        <w:spacing w:line="360" w:lineRule="auto"/>
        <w:rPr>
          <w:rFonts w:eastAsia="黑体"/>
          <w:b/>
          <w:sz w:val="24"/>
          <w:szCs w:val="24"/>
        </w:rPr>
      </w:pPr>
    </w:p>
    <w:p>
      <w:pPr>
        <w:widowControl/>
        <w:jc w:val="left"/>
        <w:rPr>
          <w:rFonts w:eastAsia="黑体"/>
          <w:b/>
          <w:sz w:val="24"/>
          <w:szCs w:val="24"/>
        </w:rPr>
      </w:pPr>
      <w:r>
        <w:rPr>
          <w:rFonts w:eastAsia="黑体"/>
          <w:b/>
          <w:sz w:val="24"/>
          <w:szCs w:val="24"/>
        </w:rPr>
        <w:br w:type="page"/>
      </w:r>
    </w:p>
    <w:p>
      <w:pPr>
        <w:adjustRightInd w:val="0"/>
        <w:snapToGrid w:val="0"/>
        <w:spacing w:line="360" w:lineRule="auto"/>
        <w:ind w:firstLine="482" w:firstLineChars="200"/>
        <w:rPr>
          <w:rFonts w:eastAsia="黑体"/>
          <w:b/>
          <w:sz w:val="24"/>
          <w:szCs w:val="24"/>
        </w:rPr>
      </w:pPr>
      <w:r>
        <w:rPr>
          <w:rFonts w:eastAsia="黑体"/>
          <w:b/>
          <w:sz w:val="24"/>
          <w:szCs w:val="24"/>
        </w:rPr>
        <w:t>（2）主管部门和依托单位支持情况</w:t>
      </w:r>
    </w:p>
    <w:tbl>
      <w:tblPr>
        <w:tblStyle w:val="15"/>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759" w:hRule="atLeast"/>
          <w:jc w:val="center"/>
        </w:trPr>
        <w:tc>
          <w:tcPr>
            <w:tcW w:w="8528" w:type="dxa"/>
          </w:tcPr>
          <w:p>
            <w:pPr>
              <w:adjustRightInd w:val="0"/>
              <w:snapToGrid w:val="0"/>
              <w:spacing w:before="156" w:beforeLines="50"/>
              <w:ind w:firstLine="480" w:firstLineChars="200"/>
              <w:rPr>
                <w:rFonts w:eastAsia="楷体_GB2312"/>
                <w:sz w:val="24"/>
                <w:szCs w:val="24"/>
              </w:rPr>
            </w:pPr>
            <w:r>
              <w:rPr>
                <w:rFonts w:eastAsia="楷体_GB2312"/>
                <w:sz w:val="24"/>
                <w:szCs w:val="24"/>
              </w:rPr>
              <w:t>简述主管部门和依托单位为实验室提供实验室建设和基本运行经费、相对集中的科研场所和仪器设备等条件保障的情况，在学科建设、人才引进、团队建设、研究生培养指标、自主选题研究等方面给予优先支持的情况。依托单位对实验室进行年度考核的情况。（600字以内）</w:t>
            </w:r>
          </w:p>
          <w:p>
            <w:pPr>
              <w:widowControl/>
              <w:spacing w:before="156" w:beforeLines="50" w:line="360" w:lineRule="auto"/>
              <w:ind w:firstLine="480" w:firstLineChars="200"/>
              <w:jc w:val="left"/>
              <w:rPr>
                <w:rFonts w:eastAsiaTheme="minorEastAsia"/>
                <w:sz w:val="24"/>
                <w:szCs w:val="24"/>
              </w:rPr>
            </w:pPr>
            <w:r>
              <w:rPr>
                <w:rFonts w:hint="eastAsia" w:eastAsiaTheme="minorEastAsia"/>
                <w:sz w:val="24"/>
                <w:szCs w:val="24"/>
              </w:rPr>
              <w:t>本实验室平台建设得到了教育部、科技部和广西科技厅、教育厅等相关主管部门和依托单位的大力支持，</w:t>
            </w:r>
            <w:bookmarkStart w:id="2" w:name="OLE_LINK2"/>
            <w:bookmarkStart w:id="3" w:name="OLE_LINK1"/>
            <w:r>
              <w:rPr>
                <w:rFonts w:hint="eastAsia" w:eastAsiaTheme="minorEastAsia"/>
                <w:sz w:val="24"/>
                <w:szCs w:val="24"/>
              </w:rPr>
              <w:t>2014-2018年期共获平台建设资助经费6950万元，其中中央引导地方共资助850万元，省部共建药用资源化学与药物分子工程国家重点实验室主管部门广西科技厅共资助4000万元，依托单位广西师范大学共资助运行经费500万元，及依托单位主管部门广西教育厅共资助平台建设经费1800万元。</w:t>
            </w:r>
            <w:bookmarkEnd w:id="2"/>
            <w:bookmarkEnd w:id="3"/>
            <w:r>
              <w:rPr>
                <w:rFonts w:hint="eastAsia" w:eastAsiaTheme="minorEastAsia"/>
                <w:sz w:val="24"/>
                <w:szCs w:val="24"/>
              </w:rPr>
              <w:t>平台建设经费的增加为重点实验室的可持续发展提供了坚实的保障。实验室按照建设计划，开展了大型仪器设备的购置、自主研究课题和开放课题的评审，完成了人才培养、平台建设和学术交流等方面的建设工作。</w:t>
            </w:r>
          </w:p>
          <w:p>
            <w:pPr>
              <w:widowControl/>
              <w:spacing w:before="156" w:beforeLines="50" w:line="360" w:lineRule="auto"/>
              <w:ind w:firstLine="480" w:firstLineChars="200"/>
              <w:jc w:val="left"/>
              <w:rPr>
                <w:rFonts w:eastAsiaTheme="minorEastAsia"/>
                <w:sz w:val="24"/>
                <w:szCs w:val="24"/>
              </w:rPr>
            </w:pPr>
            <w:r>
              <w:rPr>
                <w:rFonts w:hint="eastAsia" w:eastAsiaTheme="minorEastAsia"/>
                <w:sz w:val="24"/>
                <w:szCs w:val="24"/>
              </w:rPr>
              <w:t>依托单位广西师范大学在高层次人才引进、硕士研究生培养指标等方面给予重点实验室一定的政策倾斜，设立了实验室急需的专职科研岗并取得了一定的成效。此外，依托单位在实验室物业管理、水电等后勤提供了重要的保障，2017年度为使科研用房和仪器设备更加集中，满足研究需要，依托单位通过资源优化整合，使重点实验室新增科研用房3500平方米，加上原有实验用房5500平米，总面积达9000平方米。并在新增的3500平台米实验室的装修和改造工作上给予了较大的支持，有效地保证了新增实验室的改造装修工作的顺利进行。</w:t>
            </w:r>
          </w:p>
          <w:p>
            <w:pPr>
              <w:widowControl/>
              <w:spacing w:before="156" w:beforeLines="50" w:line="360" w:lineRule="auto"/>
              <w:ind w:firstLine="480" w:firstLineChars="200"/>
              <w:jc w:val="left"/>
              <w:rPr>
                <w:rFonts w:eastAsiaTheme="minorEastAsia"/>
                <w:sz w:val="24"/>
                <w:szCs w:val="24"/>
              </w:rPr>
            </w:pPr>
            <w:r>
              <w:rPr>
                <w:rFonts w:eastAsiaTheme="minorEastAsia"/>
                <w:sz w:val="24"/>
                <w:szCs w:val="24"/>
              </w:rPr>
              <w:t>此外，依托单位协同实验室主管部门和依托单位主管部门，每年对实验室进行年度考核，</w:t>
            </w:r>
            <w:r>
              <w:rPr>
                <w:rFonts w:hint="eastAsia" w:eastAsiaTheme="minorEastAsia"/>
                <w:sz w:val="24"/>
                <w:szCs w:val="24"/>
              </w:rPr>
              <w:t>2014-2018年</w:t>
            </w:r>
            <w:r>
              <w:rPr>
                <w:rFonts w:eastAsiaTheme="minorEastAsia"/>
                <w:sz w:val="24"/>
                <w:szCs w:val="24"/>
              </w:rPr>
              <w:t>实验室在依托单位和广西的考核结果均被评为优秀，</w:t>
            </w:r>
            <w:r>
              <w:rPr>
                <w:rFonts w:hint="eastAsia" w:eastAsiaTheme="minorEastAsia"/>
                <w:sz w:val="24"/>
                <w:szCs w:val="24"/>
              </w:rPr>
              <w:t>被作为广西重点实验室建设的示范单位</w:t>
            </w:r>
            <w:r>
              <w:rPr>
                <w:rFonts w:eastAsiaTheme="minorEastAsia"/>
                <w:sz w:val="24"/>
                <w:szCs w:val="24"/>
              </w:rPr>
              <w:t>。</w:t>
            </w:r>
          </w:p>
          <w:p>
            <w:pPr>
              <w:widowControl/>
              <w:spacing w:before="156" w:beforeLines="50" w:line="360" w:lineRule="auto"/>
              <w:ind w:firstLine="560" w:firstLineChars="200"/>
              <w:jc w:val="left"/>
              <w:rPr>
                <w:rFonts w:eastAsia="楷体_GB2312"/>
                <w:sz w:val="28"/>
                <w:szCs w:val="24"/>
              </w:rPr>
            </w:pPr>
          </w:p>
        </w:tc>
      </w:tr>
    </w:tbl>
    <w:p>
      <w:pPr>
        <w:adjustRightInd w:val="0"/>
        <w:snapToGrid w:val="0"/>
        <w:rPr>
          <w:rFonts w:eastAsia="楷体_GB2312"/>
          <w:sz w:val="28"/>
          <w:szCs w:val="24"/>
        </w:rPr>
      </w:pPr>
    </w:p>
    <w:p>
      <w:pPr>
        <w:widowControl/>
        <w:jc w:val="left"/>
        <w:rPr>
          <w:rFonts w:eastAsia="黑体"/>
          <w:b/>
          <w:sz w:val="28"/>
          <w:szCs w:val="24"/>
        </w:rPr>
      </w:pPr>
      <w:r>
        <w:rPr>
          <w:rFonts w:eastAsia="黑体"/>
          <w:b/>
          <w:sz w:val="28"/>
          <w:szCs w:val="24"/>
        </w:rPr>
        <w:br w:type="page"/>
      </w:r>
    </w:p>
    <w:p>
      <w:pPr>
        <w:adjustRightInd w:val="0"/>
        <w:snapToGrid w:val="0"/>
        <w:spacing w:line="360" w:lineRule="auto"/>
        <w:ind w:firstLine="562" w:firstLineChars="200"/>
        <w:rPr>
          <w:rFonts w:eastAsia="黑体"/>
          <w:b/>
          <w:sz w:val="28"/>
          <w:szCs w:val="24"/>
        </w:rPr>
      </w:pPr>
      <w:r>
        <w:rPr>
          <w:rFonts w:eastAsia="黑体"/>
          <w:b/>
          <w:sz w:val="28"/>
          <w:szCs w:val="24"/>
        </w:rPr>
        <w:t>3、仪器设备</w:t>
      </w:r>
    </w:p>
    <w:tbl>
      <w:tblPr>
        <w:tblStyle w:val="15"/>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PrEx>
        <w:trPr>
          <w:trHeight w:val="3392" w:hRule="atLeast"/>
        </w:trPr>
        <w:tc>
          <w:tcPr>
            <w:tcW w:w="8528" w:type="dxa"/>
          </w:tcPr>
          <w:p>
            <w:pPr>
              <w:adjustRightInd w:val="0"/>
              <w:snapToGrid w:val="0"/>
              <w:spacing w:before="156" w:beforeLines="50" w:line="300" w:lineRule="atLeast"/>
              <w:ind w:firstLine="480" w:firstLineChars="200"/>
              <w:rPr>
                <w:rFonts w:eastAsia="楷体_GB2312"/>
                <w:sz w:val="24"/>
                <w:szCs w:val="24"/>
              </w:rPr>
            </w:pPr>
            <w:r>
              <w:rPr>
                <w:rFonts w:eastAsia="楷体_GB2312"/>
                <w:sz w:val="24"/>
                <w:szCs w:val="24"/>
              </w:rPr>
              <w:t>简述实验室大型仪器设备的使用、开放共享情况，研制新设备和升级改造旧设备等方面的情况。（500字以内）</w:t>
            </w:r>
          </w:p>
          <w:p>
            <w:pPr>
              <w:widowControl/>
              <w:spacing w:before="156" w:beforeLines="50" w:line="360" w:lineRule="auto"/>
              <w:ind w:firstLine="480" w:firstLineChars="200"/>
              <w:rPr>
                <w:sz w:val="24"/>
                <w:szCs w:val="24"/>
              </w:rPr>
            </w:pPr>
            <w:r>
              <w:rPr>
                <w:kern w:val="0"/>
                <w:sz w:val="24"/>
                <w:szCs w:val="24"/>
              </w:rPr>
              <w:t>近5年，实验室在原有设备的基础上，新增了</w:t>
            </w:r>
            <w:r>
              <w:rPr>
                <w:sz w:val="24"/>
                <w:szCs w:val="24"/>
              </w:rPr>
              <w:t>Bruker VANCE III HD400 M、Bruker AVANCE NEO600 M</w:t>
            </w:r>
            <w:bookmarkStart w:id="4" w:name="_Hlk17042678"/>
            <w:r>
              <w:rPr>
                <w:sz w:val="24"/>
                <w:szCs w:val="24"/>
              </w:rPr>
              <w:t>核磁共振波谱仪</w:t>
            </w:r>
            <w:bookmarkEnd w:id="4"/>
            <w:r>
              <w:rPr>
                <w:sz w:val="24"/>
                <w:szCs w:val="24"/>
              </w:rPr>
              <w:t>，Agilent Intuvo9000-5977B气质联用仪，Agilent 6545 Q-TOF液质联用仪，GE T200分子互作仪，EVOS FL Auto 2全自动细胞成像系统，Image Xpress Micro4全自动高通量筛选分析系统，Odyssey CLX双通道红外激光成像系统</w:t>
            </w:r>
            <w:r>
              <w:rPr>
                <w:kern w:val="0"/>
                <w:sz w:val="24"/>
                <w:szCs w:val="24"/>
              </w:rPr>
              <w:t>等大型仪器设备共计18台（套）。目前实验室已经拥有</w:t>
            </w:r>
            <w:r>
              <w:rPr>
                <w:sz w:val="24"/>
                <w:szCs w:val="24"/>
              </w:rPr>
              <w:t>核磁共振波谱仪</w:t>
            </w:r>
            <w:r>
              <w:rPr>
                <w:kern w:val="0"/>
                <w:sz w:val="24"/>
                <w:szCs w:val="24"/>
              </w:rPr>
              <w:t>，单晶/粉末衍射仪，</w:t>
            </w:r>
            <w:r>
              <w:rPr>
                <w:sz w:val="24"/>
                <w:szCs w:val="24"/>
              </w:rPr>
              <w:t>质谱，气质/液质联用、扫描电镜、流式细胞仪、酶标仪、高通量筛选平台</w:t>
            </w:r>
            <w:r>
              <w:rPr>
                <w:kern w:val="0"/>
                <w:sz w:val="24"/>
                <w:szCs w:val="24"/>
              </w:rPr>
              <w:t>等各种化学药学相关仪器设备共计100多台（套），总价值1.1亿元。</w:t>
            </w:r>
          </w:p>
          <w:p>
            <w:pPr>
              <w:widowControl/>
              <w:spacing w:before="156" w:beforeLines="50" w:line="360" w:lineRule="auto"/>
              <w:ind w:firstLine="480" w:firstLineChars="200"/>
              <w:jc w:val="left"/>
              <w:rPr>
                <w:kern w:val="0"/>
                <w:sz w:val="24"/>
                <w:szCs w:val="24"/>
              </w:rPr>
            </w:pPr>
            <w:r>
              <w:rPr>
                <w:kern w:val="0"/>
                <w:sz w:val="24"/>
                <w:szCs w:val="24"/>
              </w:rPr>
              <w:t>为提高仪器使用效率及开放共享，实验室近年来引进了大型仪器预约管理系统，并通过该系统对实验室仪器设备进行开放式管理；近5年大型仪器设备总开放测试机时达12万小时。测试机时中除实验室内部人员测试外，近5年来先后面向全校和社会开放了粉末衍射，</w:t>
            </w:r>
            <w:r>
              <w:rPr>
                <w:sz w:val="24"/>
                <w:szCs w:val="24"/>
              </w:rPr>
              <w:t>场发射环境扫描电镜</w:t>
            </w:r>
            <w:r>
              <w:rPr>
                <w:kern w:val="0"/>
                <w:sz w:val="24"/>
                <w:szCs w:val="24"/>
              </w:rPr>
              <w:t>，核磁共振</w:t>
            </w:r>
            <w:r>
              <w:rPr>
                <w:sz w:val="24"/>
                <w:szCs w:val="24"/>
              </w:rPr>
              <w:t>波谱仪</w:t>
            </w:r>
            <w:r>
              <w:rPr>
                <w:kern w:val="0"/>
                <w:sz w:val="24"/>
                <w:szCs w:val="24"/>
              </w:rPr>
              <w:t>、</w:t>
            </w:r>
            <w:r>
              <w:rPr>
                <w:sz w:val="24"/>
                <w:szCs w:val="24"/>
              </w:rPr>
              <w:t>激光共聚焦显微镜</w:t>
            </w:r>
            <w:r>
              <w:rPr>
                <w:kern w:val="0"/>
                <w:sz w:val="24"/>
                <w:szCs w:val="24"/>
              </w:rPr>
              <w:t>等大型仪器设备，校外共享开放机时超过了6200小时。</w:t>
            </w:r>
          </w:p>
          <w:p>
            <w:pPr>
              <w:widowControl/>
              <w:spacing w:before="156" w:beforeLines="50" w:line="360" w:lineRule="auto"/>
              <w:ind w:firstLine="480" w:firstLineChars="200"/>
              <w:jc w:val="left"/>
              <w:rPr>
                <w:kern w:val="0"/>
                <w:sz w:val="24"/>
                <w:szCs w:val="24"/>
              </w:rPr>
            </w:pPr>
            <w:r>
              <w:rPr>
                <w:kern w:val="0"/>
                <w:sz w:val="24"/>
                <w:szCs w:val="24"/>
              </w:rPr>
              <w:t>实验室鼓励研究人员进行仪器创制，如实验室赵书林教授团队开发了多功能单细胞分析仪；还设置仪器专项课题鼓励开发仪器功能。</w:t>
            </w:r>
          </w:p>
          <w:p>
            <w:pPr>
              <w:adjustRightInd w:val="0"/>
              <w:snapToGrid w:val="0"/>
              <w:spacing w:before="156" w:beforeLines="50" w:line="360" w:lineRule="auto"/>
              <w:ind w:firstLine="480" w:firstLineChars="200"/>
              <w:rPr>
                <w:rFonts w:eastAsiaTheme="minorEastAsia"/>
                <w:sz w:val="24"/>
                <w:szCs w:val="24"/>
              </w:rPr>
            </w:pPr>
            <w:r>
              <w:rPr>
                <w:kern w:val="0"/>
                <w:sz w:val="24"/>
                <w:szCs w:val="24"/>
              </w:rPr>
              <w:t>目前动物实验中心正在建</w:t>
            </w:r>
            <w:r>
              <w:rPr>
                <w:rFonts w:hint="eastAsia"/>
                <w:kern w:val="0"/>
                <w:sz w:val="24"/>
                <w:szCs w:val="24"/>
              </w:rPr>
              <w:t>设</w:t>
            </w:r>
            <w:r>
              <w:rPr>
                <w:kern w:val="0"/>
                <w:sz w:val="24"/>
                <w:szCs w:val="24"/>
              </w:rPr>
              <w:t>中，相应仪器设备如小动物生理遥测系统，多模式活体小动物成像仪，小鼠独立通风笼具IV，小动物X光成像等已配置齐全。</w:t>
            </w:r>
          </w:p>
          <w:p>
            <w:pPr>
              <w:adjustRightInd w:val="0"/>
              <w:snapToGrid w:val="0"/>
              <w:spacing w:before="156" w:beforeLines="50" w:line="300" w:lineRule="atLeast"/>
              <w:ind w:firstLine="480" w:firstLineChars="200"/>
              <w:rPr>
                <w:rFonts w:eastAsia="楷体_GB2312"/>
                <w:sz w:val="24"/>
                <w:szCs w:val="24"/>
              </w:rPr>
            </w:pPr>
          </w:p>
        </w:tc>
      </w:tr>
    </w:tbl>
    <w:p>
      <w:pPr>
        <w:adjustRightInd w:val="0"/>
        <w:snapToGrid w:val="0"/>
        <w:ind w:firstLine="643" w:firstLineChars="200"/>
        <w:rPr>
          <w:rFonts w:eastAsia="黑体"/>
          <w:b/>
          <w:bCs/>
          <w:sz w:val="32"/>
          <w:szCs w:val="24"/>
        </w:rPr>
      </w:pPr>
    </w:p>
    <w:p>
      <w:pPr>
        <w:widowControl/>
        <w:jc w:val="left"/>
        <w:rPr>
          <w:rFonts w:eastAsia="黑体"/>
          <w:b/>
          <w:bCs/>
          <w:sz w:val="32"/>
          <w:szCs w:val="24"/>
        </w:rPr>
      </w:pPr>
      <w:r>
        <w:rPr>
          <w:rFonts w:eastAsia="黑体"/>
          <w:b/>
          <w:bCs/>
          <w:sz w:val="32"/>
          <w:szCs w:val="24"/>
        </w:rPr>
        <w:br w:type="page"/>
      </w:r>
      <w:r>
        <w:rPr>
          <w:rFonts w:eastAsia="黑体"/>
          <w:b/>
          <w:bCs/>
          <w:sz w:val="32"/>
          <w:szCs w:val="24"/>
        </w:rPr>
        <w:t>六、审核意见</w:t>
      </w:r>
    </w:p>
    <w:p>
      <w:pPr>
        <w:adjustRightInd w:val="0"/>
        <w:snapToGrid w:val="0"/>
        <w:rPr>
          <w:rFonts w:eastAsia="楷体_GB2312"/>
          <w:sz w:val="24"/>
          <w:szCs w:val="24"/>
        </w:rPr>
      </w:pPr>
    </w:p>
    <w:tbl>
      <w:tblPr>
        <w:tblStyle w:val="15"/>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9" w:hRule="atLeast"/>
          <w:jc w:val="center"/>
        </w:trPr>
        <w:tc>
          <w:tcPr>
            <w:tcW w:w="8505" w:type="dxa"/>
          </w:tcPr>
          <w:p>
            <w:pPr>
              <w:adjustRightInd w:val="0"/>
              <w:snapToGrid w:val="0"/>
              <w:rPr>
                <w:rFonts w:eastAsia="楷体_GB2312"/>
                <w:sz w:val="24"/>
                <w:szCs w:val="24"/>
              </w:rPr>
            </w:pPr>
          </w:p>
          <w:p>
            <w:pPr>
              <w:adjustRightInd w:val="0"/>
              <w:snapToGrid w:val="0"/>
              <w:rPr>
                <w:rFonts w:eastAsia="楷体_GB2312"/>
                <w:sz w:val="24"/>
                <w:szCs w:val="24"/>
              </w:rPr>
            </w:pPr>
            <w:r>
              <w:rPr>
                <w:rFonts w:eastAsia="楷体_GB2312"/>
                <w:sz w:val="24"/>
                <w:szCs w:val="24"/>
              </w:rPr>
              <w:t>实验室承诺所填内容属实，数据准确可靠。</w:t>
            </w:r>
          </w:p>
          <w:p>
            <w:pPr>
              <w:adjustRightInd w:val="0"/>
              <w:snapToGrid w:val="0"/>
              <w:rPr>
                <w:rFonts w:eastAsia="楷体_GB2312"/>
                <w:sz w:val="24"/>
                <w:szCs w:val="24"/>
              </w:rPr>
            </w:pPr>
          </w:p>
          <w:p>
            <w:pPr>
              <w:adjustRightInd w:val="0"/>
              <w:snapToGrid w:val="0"/>
              <w:rPr>
                <w:rFonts w:eastAsia="楷体_GB2312"/>
                <w:sz w:val="24"/>
                <w:szCs w:val="24"/>
              </w:rPr>
            </w:pPr>
          </w:p>
          <w:p>
            <w:pPr>
              <w:adjustRightInd w:val="0"/>
              <w:snapToGrid w:val="0"/>
              <w:rPr>
                <w:rFonts w:eastAsia="楷体_GB2312"/>
                <w:sz w:val="24"/>
                <w:szCs w:val="24"/>
              </w:rPr>
            </w:pPr>
          </w:p>
          <w:p>
            <w:pPr>
              <w:adjustRightInd w:val="0"/>
              <w:snapToGrid w:val="0"/>
              <w:ind w:right="1493" w:rightChars="711"/>
              <w:jc w:val="right"/>
              <w:rPr>
                <w:rFonts w:eastAsia="楷体_GB2312"/>
                <w:sz w:val="24"/>
                <w:szCs w:val="24"/>
              </w:rPr>
            </w:pPr>
            <w:r>
              <w:rPr>
                <w:rFonts w:eastAsia="楷体_GB2312"/>
                <w:sz w:val="24"/>
                <w:szCs w:val="24"/>
              </w:rPr>
              <w:t>数据审核人：</w:t>
            </w:r>
          </w:p>
          <w:p>
            <w:pPr>
              <w:adjustRightInd w:val="0"/>
              <w:snapToGrid w:val="0"/>
              <w:ind w:right="1493" w:rightChars="711"/>
              <w:jc w:val="right"/>
              <w:rPr>
                <w:rFonts w:eastAsia="楷体_GB2312"/>
                <w:sz w:val="24"/>
                <w:szCs w:val="24"/>
              </w:rPr>
            </w:pPr>
            <w:r>
              <w:rPr>
                <w:rFonts w:eastAsia="楷体_GB2312"/>
                <w:sz w:val="24"/>
                <w:szCs w:val="24"/>
              </w:rPr>
              <w:t>实验室主任：</w:t>
            </w:r>
          </w:p>
          <w:p>
            <w:pPr>
              <w:adjustRightInd w:val="0"/>
              <w:snapToGrid w:val="0"/>
              <w:ind w:right="1493" w:rightChars="711"/>
              <w:jc w:val="right"/>
              <w:rPr>
                <w:rFonts w:eastAsia="楷体_GB2312"/>
                <w:sz w:val="24"/>
                <w:szCs w:val="24"/>
              </w:rPr>
            </w:pPr>
            <w:r>
              <w:rPr>
                <w:rFonts w:eastAsia="楷体_GB2312"/>
                <w:sz w:val="24"/>
                <w:szCs w:val="24"/>
              </w:rPr>
              <w:t>（单位公章）</w:t>
            </w:r>
          </w:p>
          <w:p>
            <w:pPr>
              <w:adjustRightInd w:val="0"/>
              <w:snapToGrid w:val="0"/>
              <w:ind w:right="785" w:rightChars="374"/>
              <w:jc w:val="right"/>
              <w:rPr>
                <w:rFonts w:eastAsia="楷体_GB2312"/>
                <w:sz w:val="24"/>
                <w:szCs w:val="24"/>
              </w:rPr>
            </w:pPr>
            <w:r>
              <w:rPr>
                <w:rFonts w:eastAsia="楷体_GB2312"/>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9" w:hRule="atLeast"/>
          <w:jc w:val="center"/>
        </w:trPr>
        <w:tc>
          <w:tcPr>
            <w:tcW w:w="8505" w:type="dxa"/>
          </w:tcPr>
          <w:p>
            <w:pPr>
              <w:adjustRightInd w:val="0"/>
              <w:snapToGrid w:val="0"/>
              <w:rPr>
                <w:rFonts w:eastAsia="楷体_GB2312"/>
                <w:sz w:val="24"/>
                <w:szCs w:val="24"/>
              </w:rPr>
            </w:pPr>
          </w:p>
          <w:p>
            <w:pPr>
              <w:adjustRightInd w:val="0"/>
              <w:snapToGrid w:val="0"/>
              <w:rPr>
                <w:rFonts w:eastAsia="楷体_GB2312"/>
                <w:sz w:val="24"/>
                <w:szCs w:val="24"/>
              </w:rPr>
            </w:pPr>
            <w:r>
              <w:rPr>
                <w:rFonts w:eastAsia="楷体_GB2312"/>
                <w:sz w:val="24"/>
                <w:szCs w:val="24"/>
              </w:rPr>
              <w:t>依托单位审核意见</w:t>
            </w:r>
          </w:p>
          <w:p>
            <w:pPr>
              <w:adjustRightInd w:val="0"/>
              <w:snapToGrid w:val="0"/>
              <w:rPr>
                <w:rFonts w:eastAsia="楷体_GB2312"/>
                <w:sz w:val="24"/>
                <w:szCs w:val="24"/>
              </w:rPr>
            </w:pPr>
          </w:p>
          <w:p>
            <w:pPr>
              <w:adjustRightInd w:val="0"/>
              <w:snapToGrid w:val="0"/>
              <w:rPr>
                <w:rFonts w:eastAsia="楷体_GB2312"/>
                <w:sz w:val="24"/>
                <w:szCs w:val="24"/>
              </w:rPr>
            </w:pPr>
          </w:p>
          <w:p>
            <w:pPr>
              <w:adjustRightInd w:val="0"/>
              <w:snapToGrid w:val="0"/>
              <w:rPr>
                <w:rFonts w:eastAsia="楷体_GB2312"/>
                <w:sz w:val="24"/>
                <w:szCs w:val="24"/>
              </w:rPr>
            </w:pPr>
          </w:p>
          <w:p>
            <w:pPr>
              <w:adjustRightInd w:val="0"/>
              <w:snapToGrid w:val="0"/>
              <w:ind w:right="1493" w:rightChars="711"/>
              <w:jc w:val="right"/>
              <w:rPr>
                <w:rFonts w:eastAsia="楷体_GB2312"/>
                <w:sz w:val="24"/>
                <w:szCs w:val="24"/>
              </w:rPr>
            </w:pPr>
            <w:r>
              <w:rPr>
                <w:rFonts w:eastAsia="楷体_GB2312"/>
                <w:sz w:val="24"/>
                <w:szCs w:val="24"/>
              </w:rPr>
              <w:t>依托单位负责人签字：</w:t>
            </w:r>
          </w:p>
          <w:p>
            <w:pPr>
              <w:adjustRightInd w:val="0"/>
              <w:snapToGrid w:val="0"/>
              <w:ind w:right="1493" w:rightChars="711"/>
              <w:jc w:val="right"/>
              <w:rPr>
                <w:rFonts w:eastAsia="楷体_GB2312"/>
                <w:sz w:val="24"/>
                <w:szCs w:val="24"/>
              </w:rPr>
            </w:pPr>
            <w:r>
              <w:rPr>
                <w:rFonts w:eastAsia="楷体_GB2312"/>
                <w:sz w:val="24"/>
                <w:szCs w:val="24"/>
              </w:rPr>
              <w:t>（单位公章）</w:t>
            </w:r>
          </w:p>
          <w:p>
            <w:pPr>
              <w:adjustRightInd w:val="0"/>
              <w:snapToGrid w:val="0"/>
              <w:ind w:right="785" w:rightChars="374"/>
              <w:jc w:val="right"/>
              <w:rPr>
                <w:rFonts w:eastAsia="楷体_GB2312"/>
                <w:sz w:val="24"/>
                <w:szCs w:val="24"/>
              </w:rPr>
            </w:pPr>
            <w:r>
              <w:rPr>
                <w:rFonts w:eastAsia="楷体_GB2312"/>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9" w:hRule="atLeast"/>
          <w:jc w:val="center"/>
        </w:trPr>
        <w:tc>
          <w:tcPr>
            <w:tcW w:w="8505" w:type="dxa"/>
          </w:tcPr>
          <w:p>
            <w:pPr>
              <w:adjustRightInd w:val="0"/>
              <w:snapToGrid w:val="0"/>
              <w:rPr>
                <w:rFonts w:eastAsia="楷体_GB2312"/>
                <w:sz w:val="24"/>
                <w:szCs w:val="24"/>
              </w:rPr>
            </w:pPr>
          </w:p>
          <w:p>
            <w:pPr>
              <w:adjustRightInd w:val="0"/>
              <w:snapToGrid w:val="0"/>
              <w:rPr>
                <w:rFonts w:eastAsia="楷体_GB2312"/>
                <w:sz w:val="24"/>
                <w:szCs w:val="24"/>
              </w:rPr>
            </w:pPr>
            <w:r>
              <w:rPr>
                <w:rFonts w:eastAsia="楷体_GB2312"/>
                <w:sz w:val="24"/>
                <w:szCs w:val="24"/>
              </w:rPr>
              <w:t>主管部门审核意见</w:t>
            </w:r>
          </w:p>
          <w:p>
            <w:pPr>
              <w:adjustRightInd w:val="0"/>
              <w:snapToGrid w:val="0"/>
              <w:rPr>
                <w:rFonts w:eastAsia="楷体_GB2312"/>
                <w:sz w:val="24"/>
                <w:szCs w:val="24"/>
              </w:rPr>
            </w:pPr>
          </w:p>
          <w:p>
            <w:pPr>
              <w:adjustRightInd w:val="0"/>
              <w:snapToGrid w:val="0"/>
              <w:rPr>
                <w:rFonts w:eastAsia="楷体_GB2312"/>
                <w:sz w:val="24"/>
                <w:szCs w:val="24"/>
              </w:rPr>
            </w:pPr>
          </w:p>
          <w:p>
            <w:pPr>
              <w:adjustRightInd w:val="0"/>
              <w:snapToGrid w:val="0"/>
              <w:rPr>
                <w:rFonts w:eastAsia="楷体_GB2312"/>
                <w:sz w:val="24"/>
                <w:szCs w:val="24"/>
              </w:rPr>
            </w:pPr>
          </w:p>
          <w:p>
            <w:pPr>
              <w:adjustRightInd w:val="0"/>
              <w:snapToGrid w:val="0"/>
              <w:ind w:right="1493" w:rightChars="711"/>
              <w:jc w:val="right"/>
              <w:rPr>
                <w:rFonts w:eastAsia="楷体_GB2312"/>
                <w:sz w:val="24"/>
                <w:szCs w:val="24"/>
              </w:rPr>
            </w:pPr>
            <w:r>
              <w:rPr>
                <w:rFonts w:eastAsia="楷体_GB2312"/>
                <w:sz w:val="24"/>
                <w:szCs w:val="24"/>
              </w:rPr>
              <w:t>主管部门负责人签字:</w:t>
            </w:r>
          </w:p>
          <w:p>
            <w:pPr>
              <w:adjustRightInd w:val="0"/>
              <w:snapToGrid w:val="0"/>
              <w:ind w:right="1493" w:rightChars="711"/>
              <w:jc w:val="right"/>
              <w:rPr>
                <w:rFonts w:eastAsia="楷体_GB2312"/>
                <w:sz w:val="24"/>
                <w:szCs w:val="24"/>
              </w:rPr>
            </w:pPr>
            <w:r>
              <w:rPr>
                <w:rFonts w:eastAsia="楷体_GB2312"/>
                <w:sz w:val="24"/>
                <w:szCs w:val="24"/>
              </w:rPr>
              <w:t>（单位公章）</w:t>
            </w:r>
          </w:p>
          <w:p>
            <w:pPr>
              <w:adjustRightInd w:val="0"/>
              <w:snapToGrid w:val="0"/>
              <w:ind w:right="785" w:rightChars="374"/>
              <w:jc w:val="right"/>
              <w:rPr>
                <w:rFonts w:eastAsia="楷体_GB2312"/>
                <w:sz w:val="24"/>
                <w:szCs w:val="24"/>
              </w:rPr>
            </w:pPr>
            <w:r>
              <w:rPr>
                <w:rFonts w:eastAsia="楷体_GB2312"/>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9" w:hRule="atLeast"/>
          <w:jc w:val="center"/>
        </w:trPr>
        <w:tc>
          <w:tcPr>
            <w:tcW w:w="8505" w:type="dxa"/>
          </w:tcPr>
          <w:p>
            <w:pPr>
              <w:adjustRightInd w:val="0"/>
              <w:snapToGrid w:val="0"/>
              <w:rPr>
                <w:rFonts w:eastAsia="楷体_GB2312"/>
                <w:sz w:val="24"/>
                <w:szCs w:val="24"/>
              </w:rPr>
            </w:pPr>
          </w:p>
          <w:p>
            <w:pPr>
              <w:adjustRightInd w:val="0"/>
              <w:snapToGrid w:val="0"/>
              <w:rPr>
                <w:rFonts w:eastAsia="楷体_GB2312"/>
                <w:sz w:val="24"/>
                <w:szCs w:val="24"/>
              </w:rPr>
            </w:pPr>
            <w:r>
              <w:rPr>
                <w:rFonts w:eastAsia="楷体_GB2312"/>
                <w:sz w:val="24"/>
                <w:szCs w:val="24"/>
              </w:rPr>
              <w:t>评估机构形式审查意见</w:t>
            </w:r>
          </w:p>
          <w:p>
            <w:pPr>
              <w:adjustRightInd w:val="0"/>
              <w:snapToGrid w:val="0"/>
              <w:rPr>
                <w:rFonts w:eastAsia="楷体_GB2312"/>
                <w:sz w:val="24"/>
                <w:szCs w:val="24"/>
              </w:rPr>
            </w:pPr>
          </w:p>
          <w:p>
            <w:pPr>
              <w:adjustRightInd w:val="0"/>
              <w:snapToGrid w:val="0"/>
              <w:rPr>
                <w:rFonts w:eastAsia="楷体_GB2312"/>
                <w:sz w:val="24"/>
                <w:szCs w:val="24"/>
              </w:rPr>
            </w:pPr>
          </w:p>
          <w:p>
            <w:pPr>
              <w:adjustRightInd w:val="0"/>
              <w:snapToGrid w:val="0"/>
              <w:rPr>
                <w:rFonts w:eastAsia="楷体_GB2312"/>
                <w:sz w:val="24"/>
                <w:szCs w:val="24"/>
              </w:rPr>
            </w:pPr>
          </w:p>
          <w:p>
            <w:pPr>
              <w:adjustRightInd w:val="0"/>
              <w:snapToGrid w:val="0"/>
              <w:ind w:right="1493" w:rightChars="711"/>
              <w:jc w:val="right"/>
              <w:rPr>
                <w:rFonts w:eastAsia="楷体_GB2312"/>
                <w:sz w:val="24"/>
                <w:szCs w:val="24"/>
              </w:rPr>
            </w:pPr>
            <w:r>
              <w:rPr>
                <w:rFonts w:eastAsia="楷体_GB2312"/>
                <w:sz w:val="24"/>
                <w:szCs w:val="24"/>
              </w:rPr>
              <w:t>审核人:</w:t>
            </w:r>
          </w:p>
          <w:p>
            <w:pPr>
              <w:adjustRightInd w:val="0"/>
              <w:snapToGrid w:val="0"/>
              <w:ind w:right="1493" w:rightChars="711"/>
              <w:jc w:val="right"/>
              <w:rPr>
                <w:rFonts w:eastAsia="楷体_GB2312"/>
                <w:sz w:val="24"/>
                <w:szCs w:val="24"/>
              </w:rPr>
            </w:pPr>
          </w:p>
          <w:p>
            <w:pPr>
              <w:tabs>
                <w:tab w:val="left" w:pos="6007"/>
              </w:tabs>
              <w:adjustRightInd w:val="0"/>
              <w:snapToGrid w:val="0"/>
              <w:ind w:right="785" w:rightChars="374"/>
              <w:jc w:val="right"/>
              <w:rPr>
                <w:rFonts w:eastAsia="楷体_GB2312"/>
                <w:sz w:val="24"/>
                <w:szCs w:val="24"/>
              </w:rPr>
            </w:pPr>
            <w:r>
              <w:rPr>
                <w:rFonts w:eastAsia="楷体_GB2312"/>
                <w:sz w:val="24"/>
                <w:szCs w:val="24"/>
              </w:rPr>
              <w:t>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TimesNewRomanPSMT">
    <w:altName w:val="Times New Roman"/>
    <w:panose1 w:val="00000000000000000000"/>
    <w:charset w:val="00"/>
    <w:family w:val="roman"/>
    <w:pitch w:val="default"/>
    <w:sig w:usb0="00000000" w:usb1="00000000" w:usb2="00000010" w:usb3="00000000" w:csb0="00040001"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华文仿宋">
    <w:altName w:val="Microsoft YaHei UI"/>
    <w:panose1 w:val="00000000000000000000"/>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Microsoft YaHei UI"/>
    <w:panose1 w:val="00000000000000000000"/>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___WRD_EMBED_SUB_38">
    <w:altName w:val="黑体"/>
    <w:panose1 w:val="02010600030101010101"/>
    <w:charset w:val="86"/>
    <w:family w:val="modern"/>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732F4"/>
    <w:multiLevelType w:val="multilevel"/>
    <w:tmpl w:val="059732F4"/>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7AA0F02"/>
    <w:multiLevelType w:val="multilevel"/>
    <w:tmpl w:val="17AA0F02"/>
    <w:lvl w:ilvl="0" w:tentative="0">
      <w:start w:val="1"/>
      <w:numFmt w:val="decimal"/>
      <w:lvlText w:val=" %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FE38BB"/>
    <w:multiLevelType w:val="multilevel"/>
    <w:tmpl w:val="43FE38BB"/>
    <w:lvl w:ilvl="0" w:tentative="0">
      <w:start w:val="1"/>
      <w:numFmt w:val="decimal"/>
      <w:lvlText w:val=" %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251"/>
    <w:rsid w:val="00001557"/>
    <w:rsid w:val="00004BB6"/>
    <w:rsid w:val="000121B3"/>
    <w:rsid w:val="00013D0B"/>
    <w:rsid w:val="00014018"/>
    <w:rsid w:val="00014404"/>
    <w:rsid w:val="000169B6"/>
    <w:rsid w:val="00024746"/>
    <w:rsid w:val="00030164"/>
    <w:rsid w:val="000314E0"/>
    <w:rsid w:val="00040C8D"/>
    <w:rsid w:val="00043468"/>
    <w:rsid w:val="00046656"/>
    <w:rsid w:val="00047822"/>
    <w:rsid w:val="00065FE9"/>
    <w:rsid w:val="00074E53"/>
    <w:rsid w:val="00075802"/>
    <w:rsid w:val="00076D98"/>
    <w:rsid w:val="00081A45"/>
    <w:rsid w:val="00084200"/>
    <w:rsid w:val="000A0956"/>
    <w:rsid w:val="000A72E1"/>
    <w:rsid w:val="000B402A"/>
    <w:rsid w:val="000B4CD6"/>
    <w:rsid w:val="000B53A5"/>
    <w:rsid w:val="000B668C"/>
    <w:rsid w:val="000C2D8C"/>
    <w:rsid w:val="000C347E"/>
    <w:rsid w:val="000C3BFA"/>
    <w:rsid w:val="000C51DF"/>
    <w:rsid w:val="000D2840"/>
    <w:rsid w:val="000E0452"/>
    <w:rsid w:val="000E3EE1"/>
    <w:rsid w:val="000E64FF"/>
    <w:rsid w:val="000E654D"/>
    <w:rsid w:val="000E7DCA"/>
    <w:rsid w:val="00100953"/>
    <w:rsid w:val="00101C08"/>
    <w:rsid w:val="001051A7"/>
    <w:rsid w:val="00107D4C"/>
    <w:rsid w:val="00110A77"/>
    <w:rsid w:val="00111B5E"/>
    <w:rsid w:val="0011648B"/>
    <w:rsid w:val="00120DED"/>
    <w:rsid w:val="00127C9C"/>
    <w:rsid w:val="00127F6D"/>
    <w:rsid w:val="00130203"/>
    <w:rsid w:val="00136627"/>
    <w:rsid w:val="00142950"/>
    <w:rsid w:val="0014319D"/>
    <w:rsid w:val="00145265"/>
    <w:rsid w:val="001515EA"/>
    <w:rsid w:val="00154AE5"/>
    <w:rsid w:val="001770EA"/>
    <w:rsid w:val="00180139"/>
    <w:rsid w:val="001802B1"/>
    <w:rsid w:val="001812FD"/>
    <w:rsid w:val="0018216D"/>
    <w:rsid w:val="00182E36"/>
    <w:rsid w:val="00182EE7"/>
    <w:rsid w:val="001854B2"/>
    <w:rsid w:val="0018700B"/>
    <w:rsid w:val="001874A1"/>
    <w:rsid w:val="001902BD"/>
    <w:rsid w:val="00192D08"/>
    <w:rsid w:val="001932BF"/>
    <w:rsid w:val="00197E60"/>
    <w:rsid w:val="001A006B"/>
    <w:rsid w:val="001A3AEE"/>
    <w:rsid w:val="001A64FA"/>
    <w:rsid w:val="001B6974"/>
    <w:rsid w:val="001C4529"/>
    <w:rsid w:val="001C58BC"/>
    <w:rsid w:val="001D177F"/>
    <w:rsid w:val="001D287C"/>
    <w:rsid w:val="001D3DCC"/>
    <w:rsid w:val="001D49FA"/>
    <w:rsid w:val="001D69AC"/>
    <w:rsid w:val="001E0D43"/>
    <w:rsid w:val="001E15B1"/>
    <w:rsid w:val="001F4D24"/>
    <w:rsid w:val="001F5D81"/>
    <w:rsid w:val="001F68FA"/>
    <w:rsid w:val="001F6AF2"/>
    <w:rsid w:val="00203656"/>
    <w:rsid w:val="002046D3"/>
    <w:rsid w:val="0020496D"/>
    <w:rsid w:val="00204EAA"/>
    <w:rsid w:val="002075B7"/>
    <w:rsid w:val="002106DD"/>
    <w:rsid w:val="00211D5D"/>
    <w:rsid w:val="00226DC2"/>
    <w:rsid w:val="0023045E"/>
    <w:rsid w:val="00230C4B"/>
    <w:rsid w:val="0023736D"/>
    <w:rsid w:val="00241AC2"/>
    <w:rsid w:val="00242CEA"/>
    <w:rsid w:val="0024533E"/>
    <w:rsid w:val="002506AE"/>
    <w:rsid w:val="00256376"/>
    <w:rsid w:val="0025666F"/>
    <w:rsid w:val="00260110"/>
    <w:rsid w:val="00266824"/>
    <w:rsid w:val="00266920"/>
    <w:rsid w:val="00273295"/>
    <w:rsid w:val="0027360C"/>
    <w:rsid w:val="002767C7"/>
    <w:rsid w:val="00281192"/>
    <w:rsid w:val="00286948"/>
    <w:rsid w:val="002870CC"/>
    <w:rsid w:val="0028711E"/>
    <w:rsid w:val="002902CD"/>
    <w:rsid w:val="002915D7"/>
    <w:rsid w:val="002A0869"/>
    <w:rsid w:val="002A62A7"/>
    <w:rsid w:val="002C17F9"/>
    <w:rsid w:val="002C18A1"/>
    <w:rsid w:val="002C412B"/>
    <w:rsid w:val="002C75ED"/>
    <w:rsid w:val="002C7F3E"/>
    <w:rsid w:val="002D03A2"/>
    <w:rsid w:val="002D0427"/>
    <w:rsid w:val="002D0428"/>
    <w:rsid w:val="002D0B72"/>
    <w:rsid w:val="002D0BB1"/>
    <w:rsid w:val="002D7C98"/>
    <w:rsid w:val="002E092B"/>
    <w:rsid w:val="002E0C0B"/>
    <w:rsid w:val="002E0EB4"/>
    <w:rsid w:val="002E2BBB"/>
    <w:rsid w:val="002E3EFC"/>
    <w:rsid w:val="002E65D9"/>
    <w:rsid w:val="002E7403"/>
    <w:rsid w:val="002F4472"/>
    <w:rsid w:val="00304DBF"/>
    <w:rsid w:val="003123FA"/>
    <w:rsid w:val="0031480F"/>
    <w:rsid w:val="003176BB"/>
    <w:rsid w:val="00321F6A"/>
    <w:rsid w:val="00322738"/>
    <w:rsid w:val="00322DEE"/>
    <w:rsid w:val="0032547F"/>
    <w:rsid w:val="00325BC5"/>
    <w:rsid w:val="00330016"/>
    <w:rsid w:val="00332A26"/>
    <w:rsid w:val="003406EE"/>
    <w:rsid w:val="00342DF5"/>
    <w:rsid w:val="0034641C"/>
    <w:rsid w:val="00350FD7"/>
    <w:rsid w:val="0035567C"/>
    <w:rsid w:val="003574DB"/>
    <w:rsid w:val="0036495D"/>
    <w:rsid w:val="0036575C"/>
    <w:rsid w:val="00367A64"/>
    <w:rsid w:val="00371D14"/>
    <w:rsid w:val="00381E45"/>
    <w:rsid w:val="003821BF"/>
    <w:rsid w:val="00383191"/>
    <w:rsid w:val="00385301"/>
    <w:rsid w:val="003869F5"/>
    <w:rsid w:val="0038704C"/>
    <w:rsid w:val="0039185E"/>
    <w:rsid w:val="003956D6"/>
    <w:rsid w:val="00396AD8"/>
    <w:rsid w:val="003A2FE2"/>
    <w:rsid w:val="003B085D"/>
    <w:rsid w:val="003B4744"/>
    <w:rsid w:val="003C465A"/>
    <w:rsid w:val="003C7235"/>
    <w:rsid w:val="003E01D1"/>
    <w:rsid w:val="003E2BEC"/>
    <w:rsid w:val="003E3542"/>
    <w:rsid w:val="003E4498"/>
    <w:rsid w:val="003E5AA6"/>
    <w:rsid w:val="003E7A50"/>
    <w:rsid w:val="003F16AD"/>
    <w:rsid w:val="003F19B5"/>
    <w:rsid w:val="003F1B1C"/>
    <w:rsid w:val="003F1B5E"/>
    <w:rsid w:val="003F3337"/>
    <w:rsid w:val="003F5B19"/>
    <w:rsid w:val="003F701C"/>
    <w:rsid w:val="00400252"/>
    <w:rsid w:val="004008EF"/>
    <w:rsid w:val="00401045"/>
    <w:rsid w:val="00402976"/>
    <w:rsid w:val="00402B2B"/>
    <w:rsid w:val="0040533E"/>
    <w:rsid w:val="004064C0"/>
    <w:rsid w:val="0041264B"/>
    <w:rsid w:val="00415119"/>
    <w:rsid w:val="00417565"/>
    <w:rsid w:val="004213DC"/>
    <w:rsid w:val="00422866"/>
    <w:rsid w:val="00423671"/>
    <w:rsid w:val="00427E5F"/>
    <w:rsid w:val="00431BF7"/>
    <w:rsid w:val="00432FCD"/>
    <w:rsid w:val="004401C8"/>
    <w:rsid w:val="004435A6"/>
    <w:rsid w:val="00444444"/>
    <w:rsid w:val="0044457B"/>
    <w:rsid w:val="00444CE6"/>
    <w:rsid w:val="00445662"/>
    <w:rsid w:val="00464039"/>
    <w:rsid w:val="004728BD"/>
    <w:rsid w:val="004755AA"/>
    <w:rsid w:val="00476C28"/>
    <w:rsid w:val="004823B9"/>
    <w:rsid w:val="00492C12"/>
    <w:rsid w:val="004936BA"/>
    <w:rsid w:val="004952C9"/>
    <w:rsid w:val="0049680F"/>
    <w:rsid w:val="004A1084"/>
    <w:rsid w:val="004A2141"/>
    <w:rsid w:val="004A3E4C"/>
    <w:rsid w:val="004A5741"/>
    <w:rsid w:val="004A5B25"/>
    <w:rsid w:val="004B0D9B"/>
    <w:rsid w:val="004B4C04"/>
    <w:rsid w:val="004B63A1"/>
    <w:rsid w:val="004B69FE"/>
    <w:rsid w:val="004C3163"/>
    <w:rsid w:val="004D2861"/>
    <w:rsid w:val="004D2CCA"/>
    <w:rsid w:val="004D386F"/>
    <w:rsid w:val="004D7BB3"/>
    <w:rsid w:val="004E04B4"/>
    <w:rsid w:val="004E0BD6"/>
    <w:rsid w:val="004E2968"/>
    <w:rsid w:val="004E4B1A"/>
    <w:rsid w:val="004F0C46"/>
    <w:rsid w:val="004F0E03"/>
    <w:rsid w:val="004F13C3"/>
    <w:rsid w:val="004F17AE"/>
    <w:rsid w:val="004F1B83"/>
    <w:rsid w:val="00501834"/>
    <w:rsid w:val="00504D34"/>
    <w:rsid w:val="005058EC"/>
    <w:rsid w:val="00511B2C"/>
    <w:rsid w:val="0051238A"/>
    <w:rsid w:val="005171CB"/>
    <w:rsid w:val="0052280A"/>
    <w:rsid w:val="005258EA"/>
    <w:rsid w:val="00531691"/>
    <w:rsid w:val="00532D61"/>
    <w:rsid w:val="005336BD"/>
    <w:rsid w:val="005365E6"/>
    <w:rsid w:val="0053713B"/>
    <w:rsid w:val="0054093D"/>
    <w:rsid w:val="00541347"/>
    <w:rsid w:val="00542219"/>
    <w:rsid w:val="00555318"/>
    <w:rsid w:val="00555813"/>
    <w:rsid w:val="00560C32"/>
    <w:rsid w:val="005645B0"/>
    <w:rsid w:val="005648E5"/>
    <w:rsid w:val="0057064A"/>
    <w:rsid w:val="00571FDA"/>
    <w:rsid w:val="00572181"/>
    <w:rsid w:val="00577A21"/>
    <w:rsid w:val="00582704"/>
    <w:rsid w:val="0059057D"/>
    <w:rsid w:val="0059293F"/>
    <w:rsid w:val="005960CA"/>
    <w:rsid w:val="005A2F99"/>
    <w:rsid w:val="005B1D6F"/>
    <w:rsid w:val="005B41BF"/>
    <w:rsid w:val="005B72D8"/>
    <w:rsid w:val="005B75AE"/>
    <w:rsid w:val="005C2EF6"/>
    <w:rsid w:val="005C50E6"/>
    <w:rsid w:val="005C6A5B"/>
    <w:rsid w:val="005D24C7"/>
    <w:rsid w:val="005D2908"/>
    <w:rsid w:val="005D473F"/>
    <w:rsid w:val="005E1CD1"/>
    <w:rsid w:val="005E487E"/>
    <w:rsid w:val="005E50F7"/>
    <w:rsid w:val="005E5BD5"/>
    <w:rsid w:val="005E6144"/>
    <w:rsid w:val="005E709A"/>
    <w:rsid w:val="005E7A56"/>
    <w:rsid w:val="005F3555"/>
    <w:rsid w:val="005F5C9D"/>
    <w:rsid w:val="00600010"/>
    <w:rsid w:val="00600418"/>
    <w:rsid w:val="00610481"/>
    <w:rsid w:val="00612880"/>
    <w:rsid w:val="006130FF"/>
    <w:rsid w:val="00615D1A"/>
    <w:rsid w:val="00620084"/>
    <w:rsid w:val="00626D47"/>
    <w:rsid w:val="006302ED"/>
    <w:rsid w:val="0063250E"/>
    <w:rsid w:val="00636880"/>
    <w:rsid w:val="00637166"/>
    <w:rsid w:val="00641848"/>
    <w:rsid w:val="00646B72"/>
    <w:rsid w:val="00656A50"/>
    <w:rsid w:val="006604A2"/>
    <w:rsid w:val="006605FB"/>
    <w:rsid w:val="006606AB"/>
    <w:rsid w:val="00661159"/>
    <w:rsid w:val="00671526"/>
    <w:rsid w:val="0067409A"/>
    <w:rsid w:val="0067483B"/>
    <w:rsid w:val="0067524B"/>
    <w:rsid w:val="00683BB0"/>
    <w:rsid w:val="00691E00"/>
    <w:rsid w:val="00693B45"/>
    <w:rsid w:val="006A2661"/>
    <w:rsid w:val="006A32AB"/>
    <w:rsid w:val="006B69B9"/>
    <w:rsid w:val="006C17D4"/>
    <w:rsid w:val="006C2AD5"/>
    <w:rsid w:val="006C426F"/>
    <w:rsid w:val="006C57C6"/>
    <w:rsid w:val="006C7341"/>
    <w:rsid w:val="006C79F0"/>
    <w:rsid w:val="006D057B"/>
    <w:rsid w:val="006D2F70"/>
    <w:rsid w:val="006D3706"/>
    <w:rsid w:val="006D65C1"/>
    <w:rsid w:val="006D7440"/>
    <w:rsid w:val="006E3554"/>
    <w:rsid w:val="006E423D"/>
    <w:rsid w:val="006E465A"/>
    <w:rsid w:val="006E61F1"/>
    <w:rsid w:val="006F11DE"/>
    <w:rsid w:val="006F3560"/>
    <w:rsid w:val="006F3A79"/>
    <w:rsid w:val="006F4C52"/>
    <w:rsid w:val="006F57AA"/>
    <w:rsid w:val="00714C38"/>
    <w:rsid w:val="007214D0"/>
    <w:rsid w:val="00722F31"/>
    <w:rsid w:val="007267D0"/>
    <w:rsid w:val="0072686D"/>
    <w:rsid w:val="00727BC4"/>
    <w:rsid w:val="00732D87"/>
    <w:rsid w:val="00732E76"/>
    <w:rsid w:val="00743028"/>
    <w:rsid w:val="00745606"/>
    <w:rsid w:val="00746B76"/>
    <w:rsid w:val="007537DB"/>
    <w:rsid w:val="00755B75"/>
    <w:rsid w:val="00772216"/>
    <w:rsid w:val="00777899"/>
    <w:rsid w:val="00781DAE"/>
    <w:rsid w:val="00791FBD"/>
    <w:rsid w:val="00792053"/>
    <w:rsid w:val="00793172"/>
    <w:rsid w:val="00794C81"/>
    <w:rsid w:val="007978D6"/>
    <w:rsid w:val="007A030E"/>
    <w:rsid w:val="007B08D5"/>
    <w:rsid w:val="007B17FA"/>
    <w:rsid w:val="007B2ED0"/>
    <w:rsid w:val="007B67FD"/>
    <w:rsid w:val="007C1E6E"/>
    <w:rsid w:val="007C2D2A"/>
    <w:rsid w:val="007D1A5C"/>
    <w:rsid w:val="007D1DC5"/>
    <w:rsid w:val="007D2F61"/>
    <w:rsid w:val="007D48D0"/>
    <w:rsid w:val="007D6D16"/>
    <w:rsid w:val="007E37F7"/>
    <w:rsid w:val="007E6A6C"/>
    <w:rsid w:val="007F2939"/>
    <w:rsid w:val="007F5933"/>
    <w:rsid w:val="007F6B86"/>
    <w:rsid w:val="00803D7B"/>
    <w:rsid w:val="00806343"/>
    <w:rsid w:val="008117A6"/>
    <w:rsid w:val="00814EA3"/>
    <w:rsid w:val="008175F5"/>
    <w:rsid w:val="008268D3"/>
    <w:rsid w:val="00827B2D"/>
    <w:rsid w:val="008307B3"/>
    <w:rsid w:val="00832C47"/>
    <w:rsid w:val="00833943"/>
    <w:rsid w:val="00840E63"/>
    <w:rsid w:val="00842243"/>
    <w:rsid w:val="00845D74"/>
    <w:rsid w:val="0085620A"/>
    <w:rsid w:val="008562DE"/>
    <w:rsid w:val="00866E98"/>
    <w:rsid w:val="00867F23"/>
    <w:rsid w:val="0087084E"/>
    <w:rsid w:val="0087316A"/>
    <w:rsid w:val="00875A7C"/>
    <w:rsid w:val="00877422"/>
    <w:rsid w:val="00882739"/>
    <w:rsid w:val="0088412F"/>
    <w:rsid w:val="00885D01"/>
    <w:rsid w:val="008938D8"/>
    <w:rsid w:val="00894883"/>
    <w:rsid w:val="008A0B95"/>
    <w:rsid w:val="008A1499"/>
    <w:rsid w:val="008A4501"/>
    <w:rsid w:val="008A4C5F"/>
    <w:rsid w:val="008A5FF2"/>
    <w:rsid w:val="008A66C9"/>
    <w:rsid w:val="008B3078"/>
    <w:rsid w:val="008B5955"/>
    <w:rsid w:val="008C172E"/>
    <w:rsid w:val="008C21F4"/>
    <w:rsid w:val="008C2D1D"/>
    <w:rsid w:val="008C513D"/>
    <w:rsid w:val="008D10CF"/>
    <w:rsid w:val="008D7C71"/>
    <w:rsid w:val="008E14CC"/>
    <w:rsid w:val="008E1C89"/>
    <w:rsid w:val="008F14FE"/>
    <w:rsid w:val="008F30C6"/>
    <w:rsid w:val="0090057C"/>
    <w:rsid w:val="00906846"/>
    <w:rsid w:val="00907935"/>
    <w:rsid w:val="00910087"/>
    <w:rsid w:val="00910343"/>
    <w:rsid w:val="009110F1"/>
    <w:rsid w:val="009129A7"/>
    <w:rsid w:val="00916AEA"/>
    <w:rsid w:val="009176C1"/>
    <w:rsid w:val="00920827"/>
    <w:rsid w:val="00932EC3"/>
    <w:rsid w:val="00936233"/>
    <w:rsid w:val="0093797A"/>
    <w:rsid w:val="009404DD"/>
    <w:rsid w:val="00951ED9"/>
    <w:rsid w:val="009523E1"/>
    <w:rsid w:val="009528BC"/>
    <w:rsid w:val="00952C23"/>
    <w:rsid w:val="00955A81"/>
    <w:rsid w:val="00957595"/>
    <w:rsid w:val="009610B7"/>
    <w:rsid w:val="009620F5"/>
    <w:rsid w:val="00965D13"/>
    <w:rsid w:val="00967910"/>
    <w:rsid w:val="009715FB"/>
    <w:rsid w:val="00971EB5"/>
    <w:rsid w:val="00971FD8"/>
    <w:rsid w:val="00976D77"/>
    <w:rsid w:val="00981F09"/>
    <w:rsid w:val="0098352D"/>
    <w:rsid w:val="00993303"/>
    <w:rsid w:val="00993459"/>
    <w:rsid w:val="00994146"/>
    <w:rsid w:val="00995608"/>
    <w:rsid w:val="009975F0"/>
    <w:rsid w:val="009A62D6"/>
    <w:rsid w:val="009A6411"/>
    <w:rsid w:val="009B2B83"/>
    <w:rsid w:val="009B5EAA"/>
    <w:rsid w:val="009C5395"/>
    <w:rsid w:val="009C6352"/>
    <w:rsid w:val="009D4E39"/>
    <w:rsid w:val="009D7E84"/>
    <w:rsid w:val="009D7E97"/>
    <w:rsid w:val="009E1A15"/>
    <w:rsid w:val="009E6016"/>
    <w:rsid w:val="009E692E"/>
    <w:rsid w:val="009E70E7"/>
    <w:rsid w:val="009F3261"/>
    <w:rsid w:val="009F3A42"/>
    <w:rsid w:val="009F4CF4"/>
    <w:rsid w:val="009F7AC1"/>
    <w:rsid w:val="00A0093C"/>
    <w:rsid w:val="00A05B0F"/>
    <w:rsid w:val="00A065CB"/>
    <w:rsid w:val="00A11220"/>
    <w:rsid w:val="00A14F17"/>
    <w:rsid w:val="00A16205"/>
    <w:rsid w:val="00A16369"/>
    <w:rsid w:val="00A26A5E"/>
    <w:rsid w:val="00A27125"/>
    <w:rsid w:val="00A40901"/>
    <w:rsid w:val="00A47E78"/>
    <w:rsid w:val="00A47F77"/>
    <w:rsid w:val="00A516E0"/>
    <w:rsid w:val="00A517F6"/>
    <w:rsid w:val="00A52E74"/>
    <w:rsid w:val="00A536D6"/>
    <w:rsid w:val="00A56254"/>
    <w:rsid w:val="00A642D2"/>
    <w:rsid w:val="00A65F56"/>
    <w:rsid w:val="00A73504"/>
    <w:rsid w:val="00A73EDF"/>
    <w:rsid w:val="00A74028"/>
    <w:rsid w:val="00A765CA"/>
    <w:rsid w:val="00A76BF1"/>
    <w:rsid w:val="00A774F4"/>
    <w:rsid w:val="00A80E44"/>
    <w:rsid w:val="00A820F1"/>
    <w:rsid w:val="00A8330B"/>
    <w:rsid w:val="00A85DAD"/>
    <w:rsid w:val="00A87A6E"/>
    <w:rsid w:val="00A954FC"/>
    <w:rsid w:val="00A95751"/>
    <w:rsid w:val="00A95DE6"/>
    <w:rsid w:val="00A97C64"/>
    <w:rsid w:val="00AA03C0"/>
    <w:rsid w:val="00AA4069"/>
    <w:rsid w:val="00AA645A"/>
    <w:rsid w:val="00AB3B8C"/>
    <w:rsid w:val="00AB3D3F"/>
    <w:rsid w:val="00AB410D"/>
    <w:rsid w:val="00AC5B91"/>
    <w:rsid w:val="00AD1E64"/>
    <w:rsid w:val="00AD2330"/>
    <w:rsid w:val="00AD240A"/>
    <w:rsid w:val="00AE1D0A"/>
    <w:rsid w:val="00AE1E85"/>
    <w:rsid w:val="00AE54E0"/>
    <w:rsid w:val="00AE73D9"/>
    <w:rsid w:val="00AF5892"/>
    <w:rsid w:val="00AF7F6A"/>
    <w:rsid w:val="00B00105"/>
    <w:rsid w:val="00B031D6"/>
    <w:rsid w:val="00B05AB5"/>
    <w:rsid w:val="00B11A0D"/>
    <w:rsid w:val="00B120A9"/>
    <w:rsid w:val="00B17F58"/>
    <w:rsid w:val="00B20689"/>
    <w:rsid w:val="00B21647"/>
    <w:rsid w:val="00B24251"/>
    <w:rsid w:val="00B25A74"/>
    <w:rsid w:val="00B30567"/>
    <w:rsid w:val="00B31D1D"/>
    <w:rsid w:val="00B35B46"/>
    <w:rsid w:val="00B46E18"/>
    <w:rsid w:val="00B47789"/>
    <w:rsid w:val="00B53E7A"/>
    <w:rsid w:val="00B55131"/>
    <w:rsid w:val="00B555EA"/>
    <w:rsid w:val="00B60209"/>
    <w:rsid w:val="00B62501"/>
    <w:rsid w:val="00B652B7"/>
    <w:rsid w:val="00B66200"/>
    <w:rsid w:val="00B66E5B"/>
    <w:rsid w:val="00B7534C"/>
    <w:rsid w:val="00B75D51"/>
    <w:rsid w:val="00B77670"/>
    <w:rsid w:val="00B82B13"/>
    <w:rsid w:val="00B85672"/>
    <w:rsid w:val="00B85D4E"/>
    <w:rsid w:val="00B87BA0"/>
    <w:rsid w:val="00B91103"/>
    <w:rsid w:val="00B92C02"/>
    <w:rsid w:val="00B948DA"/>
    <w:rsid w:val="00BA1546"/>
    <w:rsid w:val="00BA448E"/>
    <w:rsid w:val="00BA65A3"/>
    <w:rsid w:val="00BB32D7"/>
    <w:rsid w:val="00BC3B3F"/>
    <w:rsid w:val="00BC5A7C"/>
    <w:rsid w:val="00BD072F"/>
    <w:rsid w:val="00BD0CE7"/>
    <w:rsid w:val="00BD5708"/>
    <w:rsid w:val="00BE1D8E"/>
    <w:rsid w:val="00BE74B0"/>
    <w:rsid w:val="00BE7EE7"/>
    <w:rsid w:val="00BF3491"/>
    <w:rsid w:val="00BF3B21"/>
    <w:rsid w:val="00C0243B"/>
    <w:rsid w:val="00C028DE"/>
    <w:rsid w:val="00C048D6"/>
    <w:rsid w:val="00C12E57"/>
    <w:rsid w:val="00C17A26"/>
    <w:rsid w:val="00C22D4C"/>
    <w:rsid w:val="00C24025"/>
    <w:rsid w:val="00C25494"/>
    <w:rsid w:val="00C268B3"/>
    <w:rsid w:val="00C41007"/>
    <w:rsid w:val="00C41CEC"/>
    <w:rsid w:val="00C5248E"/>
    <w:rsid w:val="00C543CE"/>
    <w:rsid w:val="00C54BBF"/>
    <w:rsid w:val="00C56D52"/>
    <w:rsid w:val="00C57CA5"/>
    <w:rsid w:val="00C60E3B"/>
    <w:rsid w:val="00C6484B"/>
    <w:rsid w:val="00C651D2"/>
    <w:rsid w:val="00C70A68"/>
    <w:rsid w:val="00C74F31"/>
    <w:rsid w:val="00C80F80"/>
    <w:rsid w:val="00C93531"/>
    <w:rsid w:val="00C938F5"/>
    <w:rsid w:val="00CA44DE"/>
    <w:rsid w:val="00CB6A47"/>
    <w:rsid w:val="00CC05B2"/>
    <w:rsid w:val="00CC236C"/>
    <w:rsid w:val="00CC4375"/>
    <w:rsid w:val="00CC49CD"/>
    <w:rsid w:val="00CC5097"/>
    <w:rsid w:val="00CC746D"/>
    <w:rsid w:val="00CD0628"/>
    <w:rsid w:val="00CD1966"/>
    <w:rsid w:val="00CD4207"/>
    <w:rsid w:val="00CD4516"/>
    <w:rsid w:val="00CD4E12"/>
    <w:rsid w:val="00CE3F93"/>
    <w:rsid w:val="00CE504C"/>
    <w:rsid w:val="00CE5BBF"/>
    <w:rsid w:val="00CE7042"/>
    <w:rsid w:val="00CF2712"/>
    <w:rsid w:val="00CF56B3"/>
    <w:rsid w:val="00CF64C0"/>
    <w:rsid w:val="00D03593"/>
    <w:rsid w:val="00D0499A"/>
    <w:rsid w:val="00D211C9"/>
    <w:rsid w:val="00D2187D"/>
    <w:rsid w:val="00D22CC7"/>
    <w:rsid w:val="00D2368D"/>
    <w:rsid w:val="00D30924"/>
    <w:rsid w:val="00D315D1"/>
    <w:rsid w:val="00D349F7"/>
    <w:rsid w:val="00D359A5"/>
    <w:rsid w:val="00D44D24"/>
    <w:rsid w:val="00D46B57"/>
    <w:rsid w:val="00D46C3A"/>
    <w:rsid w:val="00D477DD"/>
    <w:rsid w:val="00D50C54"/>
    <w:rsid w:val="00D51C47"/>
    <w:rsid w:val="00D54345"/>
    <w:rsid w:val="00D549C9"/>
    <w:rsid w:val="00D61E58"/>
    <w:rsid w:val="00D74269"/>
    <w:rsid w:val="00D75DA7"/>
    <w:rsid w:val="00D80B1D"/>
    <w:rsid w:val="00D862CD"/>
    <w:rsid w:val="00D86700"/>
    <w:rsid w:val="00D87F21"/>
    <w:rsid w:val="00D92C4D"/>
    <w:rsid w:val="00D96835"/>
    <w:rsid w:val="00DA3BA6"/>
    <w:rsid w:val="00DB2571"/>
    <w:rsid w:val="00DB29EB"/>
    <w:rsid w:val="00DB3048"/>
    <w:rsid w:val="00DC095D"/>
    <w:rsid w:val="00DC4E16"/>
    <w:rsid w:val="00DC51D1"/>
    <w:rsid w:val="00DC59F0"/>
    <w:rsid w:val="00DC698D"/>
    <w:rsid w:val="00DD06AD"/>
    <w:rsid w:val="00DD7A57"/>
    <w:rsid w:val="00DE13AA"/>
    <w:rsid w:val="00DF766E"/>
    <w:rsid w:val="00E01BB4"/>
    <w:rsid w:val="00E02C57"/>
    <w:rsid w:val="00E102BE"/>
    <w:rsid w:val="00E14FAF"/>
    <w:rsid w:val="00E17C6C"/>
    <w:rsid w:val="00E277E1"/>
    <w:rsid w:val="00E325AB"/>
    <w:rsid w:val="00E339F4"/>
    <w:rsid w:val="00E33B02"/>
    <w:rsid w:val="00E457E4"/>
    <w:rsid w:val="00E5229B"/>
    <w:rsid w:val="00E54D28"/>
    <w:rsid w:val="00E56FE9"/>
    <w:rsid w:val="00E60C2F"/>
    <w:rsid w:val="00E63879"/>
    <w:rsid w:val="00E659A1"/>
    <w:rsid w:val="00E67490"/>
    <w:rsid w:val="00E72B13"/>
    <w:rsid w:val="00E74273"/>
    <w:rsid w:val="00E7732E"/>
    <w:rsid w:val="00E84C8A"/>
    <w:rsid w:val="00E85317"/>
    <w:rsid w:val="00E85A5B"/>
    <w:rsid w:val="00E875EF"/>
    <w:rsid w:val="00E90629"/>
    <w:rsid w:val="00E9271D"/>
    <w:rsid w:val="00E93910"/>
    <w:rsid w:val="00EA1A3A"/>
    <w:rsid w:val="00EA3A07"/>
    <w:rsid w:val="00EB5EEB"/>
    <w:rsid w:val="00ED0090"/>
    <w:rsid w:val="00ED65CA"/>
    <w:rsid w:val="00EE489D"/>
    <w:rsid w:val="00EF21A8"/>
    <w:rsid w:val="00EF2C38"/>
    <w:rsid w:val="00EF55E1"/>
    <w:rsid w:val="00EF7195"/>
    <w:rsid w:val="00EF7D55"/>
    <w:rsid w:val="00F05C09"/>
    <w:rsid w:val="00F10812"/>
    <w:rsid w:val="00F12010"/>
    <w:rsid w:val="00F325EC"/>
    <w:rsid w:val="00F35AE2"/>
    <w:rsid w:val="00F37093"/>
    <w:rsid w:val="00F3770D"/>
    <w:rsid w:val="00F52146"/>
    <w:rsid w:val="00F52FCC"/>
    <w:rsid w:val="00F57341"/>
    <w:rsid w:val="00F63D3D"/>
    <w:rsid w:val="00F651CE"/>
    <w:rsid w:val="00F66B35"/>
    <w:rsid w:val="00F7122A"/>
    <w:rsid w:val="00F715E8"/>
    <w:rsid w:val="00F730F6"/>
    <w:rsid w:val="00F73105"/>
    <w:rsid w:val="00F76528"/>
    <w:rsid w:val="00F83A58"/>
    <w:rsid w:val="00F97EBB"/>
    <w:rsid w:val="00FA1496"/>
    <w:rsid w:val="00FB0E31"/>
    <w:rsid w:val="00FB17E3"/>
    <w:rsid w:val="00FB243E"/>
    <w:rsid w:val="00FB39F6"/>
    <w:rsid w:val="00FB4876"/>
    <w:rsid w:val="00FB6DF8"/>
    <w:rsid w:val="00FB7390"/>
    <w:rsid w:val="00FC36B1"/>
    <w:rsid w:val="00FC40B4"/>
    <w:rsid w:val="00FC4EA2"/>
    <w:rsid w:val="00FC50C4"/>
    <w:rsid w:val="00FC5D2F"/>
    <w:rsid w:val="00FC6F52"/>
    <w:rsid w:val="00FD104F"/>
    <w:rsid w:val="00FD4129"/>
    <w:rsid w:val="00FD4240"/>
    <w:rsid w:val="00FD45AD"/>
    <w:rsid w:val="00FE2A16"/>
    <w:rsid w:val="00FE414C"/>
    <w:rsid w:val="00FE4CCE"/>
    <w:rsid w:val="00FE577D"/>
    <w:rsid w:val="00FF1A84"/>
    <w:rsid w:val="00FF75D8"/>
    <w:rsid w:val="00FF7D6E"/>
    <w:rsid w:val="4A98511A"/>
    <w:rsid w:val="527825CB"/>
    <w:rsid w:val="543C04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38"/>
    <w:unhideWhenUsed/>
    <w:qFormat/>
    <w:uiPriority w:val="99"/>
    <w:pPr>
      <w:jc w:val="left"/>
    </w:pPr>
  </w:style>
  <w:style w:type="paragraph" w:styleId="3">
    <w:name w:val="Body Text"/>
    <w:basedOn w:val="1"/>
    <w:link w:val="36"/>
    <w:qFormat/>
    <w:uiPriority w:val="0"/>
    <w:pPr>
      <w:adjustRightInd w:val="0"/>
      <w:spacing w:line="312" w:lineRule="atLeast"/>
      <w:jc w:val="center"/>
      <w:textAlignment w:val="baseline"/>
    </w:pPr>
    <w:rPr>
      <w:kern w:val="0"/>
      <w:szCs w:val="20"/>
    </w:rPr>
  </w:style>
  <w:style w:type="paragraph" w:styleId="4">
    <w:name w:val="Body Text Indent"/>
    <w:basedOn w:val="1"/>
    <w:link w:val="26"/>
    <w:qFormat/>
    <w:uiPriority w:val="0"/>
    <w:pPr>
      <w:spacing w:line="520" w:lineRule="exact"/>
      <w:ind w:firstLine="538" w:firstLineChars="192"/>
    </w:pPr>
    <w:rPr>
      <w:rFonts w:ascii="楷体_GB2312" w:eastAsia="楷体_GB2312"/>
      <w:sz w:val="28"/>
      <w:szCs w:val="24"/>
    </w:rPr>
  </w:style>
  <w:style w:type="paragraph" w:styleId="5">
    <w:name w:val="Plain Text"/>
    <w:basedOn w:val="1"/>
    <w:link w:val="33"/>
    <w:qFormat/>
    <w:uiPriority w:val="0"/>
    <w:rPr>
      <w:rFonts w:ascii="宋体" w:hAnsi="Courier New" w:cs="楷体_GB2312"/>
      <w:szCs w:val="21"/>
    </w:rPr>
  </w:style>
  <w:style w:type="paragraph" w:styleId="6">
    <w:name w:val="Body Text Indent 2"/>
    <w:basedOn w:val="1"/>
    <w:link w:val="30"/>
    <w:qFormat/>
    <w:uiPriority w:val="0"/>
    <w:pPr>
      <w:spacing w:line="480" w:lineRule="exact"/>
      <w:ind w:firstLine="461" w:firstLineChars="192"/>
    </w:pPr>
    <w:rPr>
      <w:rFonts w:ascii="楷体_GB2312" w:eastAsia="楷体_GB2312"/>
      <w:sz w:val="24"/>
      <w:szCs w:val="24"/>
    </w:rPr>
  </w:style>
  <w:style w:type="paragraph" w:styleId="7">
    <w:name w:val="Balloon Text"/>
    <w:basedOn w:val="1"/>
    <w:link w:val="27"/>
    <w:qFormat/>
    <w:uiPriority w:val="0"/>
    <w:rPr>
      <w:rFonts w:ascii="楷体_GB2312" w:eastAsia="楷体_GB2312"/>
      <w:sz w:val="18"/>
      <w:szCs w:val="18"/>
    </w:rPr>
  </w:style>
  <w:style w:type="paragraph" w:styleId="8">
    <w:name w:val="footer"/>
    <w:basedOn w:val="1"/>
    <w:link w:val="23"/>
    <w:unhideWhenUsed/>
    <w:qFormat/>
    <w:uiPriority w:val="99"/>
    <w:pPr>
      <w:tabs>
        <w:tab w:val="center" w:pos="4153"/>
        <w:tab w:val="right" w:pos="8306"/>
      </w:tabs>
      <w:snapToGrid w:val="0"/>
      <w:jc w:val="left"/>
    </w:pPr>
    <w:rPr>
      <w:sz w:val="18"/>
      <w:szCs w:val="18"/>
    </w:rPr>
  </w:style>
  <w:style w:type="paragraph" w:styleId="9">
    <w:name w:val="header"/>
    <w:basedOn w:val="1"/>
    <w:link w:val="22"/>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qFormat/>
    <w:uiPriority w:val="0"/>
    <w:rPr>
      <w:rFonts w:ascii="楷体_GB2312" w:eastAsia="楷体_GB2312"/>
      <w:sz w:val="28"/>
      <w:szCs w:val="24"/>
    </w:rPr>
  </w:style>
  <w:style w:type="paragraph" w:styleId="11">
    <w:name w:val="Subtitle"/>
    <w:basedOn w:val="1"/>
    <w:next w:val="1"/>
    <w:link w:val="52"/>
    <w:qFormat/>
    <w:uiPriority w:val="0"/>
    <w:pPr>
      <w:spacing w:line="312" w:lineRule="auto"/>
      <w:jc w:val="left"/>
      <w:outlineLvl w:val="1"/>
    </w:pPr>
    <w:rPr>
      <w:rFonts w:ascii="Cambria" w:hAnsi="Cambria"/>
      <w:b/>
      <w:bCs/>
      <w:kern w:val="28"/>
      <w:sz w:val="24"/>
      <w:szCs w:val="32"/>
    </w:rPr>
  </w:style>
  <w:style w:type="paragraph" w:styleId="12">
    <w:name w:val="footnote text"/>
    <w:basedOn w:val="1"/>
    <w:link w:val="31"/>
    <w:unhideWhenUsed/>
    <w:qFormat/>
    <w:uiPriority w:val="99"/>
    <w:pPr>
      <w:snapToGrid w:val="0"/>
      <w:jc w:val="left"/>
    </w:pPr>
    <w:rPr>
      <w:rFonts w:asciiTheme="minorHAnsi" w:hAnsiTheme="minorHAnsi" w:eastAsiaTheme="minorEastAsia" w:cstheme="minorBidi"/>
      <w:sz w:val="18"/>
      <w:szCs w:val="18"/>
    </w:rPr>
  </w:style>
  <w:style w:type="paragraph" w:styleId="13">
    <w:name w:val="Normal (Web)"/>
    <w:basedOn w:val="1"/>
    <w:semiHidden/>
    <w:unhideWhenUsed/>
    <w:qFormat/>
    <w:uiPriority w:val="99"/>
    <w:rPr>
      <w:sz w:val="24"/>
      <w:szCs w:val="24"/>
    </w:rPr>
  </w:style>
  <w:style w:type="paragraph" w:styleId="14">
    <w:name w:val="annotation subject"/>
    <w:basedOn w:val="2"/>
    <w:next w:val="2"/>
    <w:link w:val="35"/>
    <w:unhideWhenUsed/>
    <w:qFormat/>
    <w:uiPriority w:val="99"/>
    <w:rPr>
      <w:rFonts w:asciiTheme="minorHAnsi" w:hAnsiTheme="minorHAnsi" w:eastAsiaTheme="minorEastAsia" w:cstheme="minorBidi"/>
      <w:b/>
      <w:bCs/>
    </w:rPr>
  </w:style>
  <w:style w:type="table" w:styleId="16">
    <w:name w:val="Table Grid"/>
    <w:basedOn w:val="15"/>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8">
    <w:name w:val="Emphasis"/>
    <w:basedOn w:val="17"/>
    <w:qFormat/>
    <w:uiPriority w:val="20"/>
    <w:rPr>
      <w:i/>
      <w:iCs/>
    </w:rPr>
  </w:style>
  <w:style w:type="character" w:styleId="19">
    <w:name w:val="Hyperlink"/>
    <w:unhideWhenUsed/>
    <w:qFormat/>
    <w:uiPriority w:val="99"/>
    <w:rPr>
      <w:color w:val="0000FF"/>
      <w:u w:val="single"/>
    </w:rPr>
  </w:style>
  <w:style w:type="character" w:styleId="20">
    <w:name w:val="annotation reference"/>
    <w:unhideWhenUsed/>
    <w:qFormat/>
    <w:uiPriority w:val="99"/>
    <w:rPr>
      <w:sz w:val="21"/>
      <w:szCs w:val="21"/>
    </w:rPr>
  </w:style>
  <w:style w:type="character" w:styleId="21">
    <w:name w:val="footnote reference"/>
    <w:unhideWhenUsed/>
    <w:qFormat/>
    <w:uiPriority w:val="99"/>
    <w:rPr>
      <w:vertAlign w:val="superscript"/>
    </w:rPr>
  </w:style>
  <w:style w:type="character" w:customStyle="1" w:styleId="22">
    <w:name w:val="页眉 Char"/>
    <w:basedOn w:val="17"/>
    <w:link w:val="9"/>
    <w:qFormat/>
    <w:uiPriority w:val="0"/>
    <w:rPr>
      <w:sz w:val="18"/>
      <w:szCs w:val="18"/>
    </w:rPr>
  </w:style>
  <w:style w:type="character" w:customStyle="1" w:styleId="23">
    <w:name w:val="页脚 Char"/>
    <w:basedOn w:val="17"/>
    <w:link w:val="8"/>
    <w:qFormat/>
    <w:uiPriority w:val="99"/>
    <w:rPr>
      <w:sz w:val="18"/>
      <w:szCs w:val="18"/>
    </w:rPr>
  </w:style>
  <w:style w:type="character" w:customStyle="1" w:styleId="24">
    <w:name w:val="页眉 字符"/>
    <w:semiHidden/>
    <w:qFormat/>
    <w:uiPriority w:val="99"/>
    <w:rPr>
      <w:sz w:val="18"/>
      <w:szCs w:val="18"/>
    </w:rPr>
  </w:style>
  <w:style w:type="character" w:customStyle="1" w:styleId="25">
    <w:name w:val="批注框文本 字符"/>
    <w:semiHidden/>
    <w:qFormat/>
    <w:uiPriority w:val="99"/>
    <w:rPr>
      <w:sz w:val="18"/>
      <w:szCs w:val="18"/>
    </w:rPr>
  </w:style>
  <w:style w:type="character" w:customStyle="1" w:styleId="26">
    <w:name w:val="正文文本缩进 Char"/>
    <w:link w:val="4"/>
    <w:qFormat/>
    <w:uiPriority w:val="0"/>
    <w:rPr>
      <w:rFonts w:ascii="楷体_GB2312" w:hAnsi="Times New Roman" w:eastAsia="楷体_GB2312" w:cs="Times New Roman"/>
      <w:sz w:val="28"/>
      <w:szCs w:val="24"/>
    </w:rPr>
  </w:style>
  <w:style w:type="character" w:customStyle="1" w:styleId="27">
    <w:name w:val="批注框文本 Char"/>
    <w:link w:val="7"/>
    <w:qFormat/>
    <w:uiPriority w:val="0"/>
    <w:rPr>
      <w:rFonts w:ascii="楷体_GB2312" w:hAnsi="Times New Roman" w:eastAsia="楷体_GB2312" w:cs="Times New Roman"/>
      <w:sz w:val="18"/>
      <w:szCs w:val="18"/>
    </w:rPr>
  </w:style>
  <w:style w:type="character" w:customStyle="1" w:styleId="28">
    <w:name w:val="页脚 字符"/>
    <w:qFormat/>
    <w:uiPriority w:val="99"/>
    <w:rPr>
      <w:sz w:val="18"/>
      <w:szCs w:val="18"/>
    </w:rPr>
  </w:style>
  <w:style w:type="character" w:customStyle="1" w:styleId="29">
    <w:name w:val="正文文本 字符"/>
    <w:basedOn w:val="17"/>
    <w:semiHidden/>
    <w:qFormat/>
    <w:uiPriority w:val="99"/>
  </w:style>
  <w:style w:type="character" w:customStyle="1" w:styleId="30">
    <w:name w:val="正文文本缩进 2 Char"/>
    <w:link w:val="6"/>
    <w:qFormat/>
    <w:uiPriority w:val="0"/>
    <w:rPr>
      <w:rFonts w:ascii="楷体_GB2312" w:hAnsi="Times New Roman" w:eastAsia="楷体_GB2312" w:cs="Times New Roman"/>
      <w:sz w:val="24"/>
      <w:szCs w:val="24"/>
    </w:rPr>
  </w:style>
  <w:style w:type="character" w:customStyle="1" w:styleId="31">
    <w:name w:val="脚注文本 Char"/>
    <w:link w:val="12"/>
    <w:qFormat/>
    <w:uiPriority w:val="99"/>
    <w:rPr>
      <w:sz w:val="18"/>
      <w:szCs w:val="18"/>
    </w:rPr>
  </w:style>
  <w:style w:type="character" w:customStyle="1" w:styleId="32">
    <w:name w:val="批注文字 Char"/>
    <w:basedOn w:val="17"/>
    <w:semiHidden/>
    <w:qFormat/>
    <w:uiPriority w:val="99"/>
  </w:style>
  <w:style w:type="character" w:customStyle="1" w:styleId="33">
    <w:name w:val="纯文本 Char"/>
    <w:link w:val="5"/>
    <w:qFormat/>
    <w:uiPriority w:val="0"/>
    <w:rPr>
      <w:rFonts w:ascii="宋体" w:hAnsi="Courier New" w:eastAsia="宋体" w:cs="楷体_GB2312"/>
      <w:szCs w:val="21"/>
    </w:rPr>
  </w:style>
  <w:style w:type="character" w:customStyle="1" w:styleId="34">
    <w:name w:val="articlecitation_volume"/>
    <w:qFormat/>
    <w:uiPriority w:val="0"/>
  </w:style>
  <w:style w:type="character" w:customStyle="1" w:styleId="35">
    <w:name w:val="批注主题 Char"/>
    <w:link w:val="14"/>
    <w:qFormat/>
    <w:uiPriority w:val="99"/>
    <w:rPr>
      <w:b/>
      <w:bCs/>
    </w:rPr>
  </w:style>
  <w:style w:type="character" w:customStyle="1" w:styleId="36">
    <w:name w:val="正文文本 Char"/>
    <w:link w:val="3"/>
    <w:qFormat/>
    <w:uiPriority w:val="0"/>
    <w:rPr>
      <w:rFonts w:ascii="Times New Roman" w:hAnsi="Times New Roman" w:eastAsia="宋体" w:cs="Times New Roman"/>
      <w:kern w:val="0"/>
      <w:szCs w:val="20"/>
    </w:rPr>
  </w:style>
  <w:style w:type="character" w:customStyle="1" w:styleId="37">
    <w:name w:val="articlecitation_pages"/>
    <w:qFormat/>
    <w:uiPriority w:val="0"/>
  </w:style>
  <w:style w:type="character" w:customStyle="1" w:styleId="38">
    <w:name w:val="批注文字 Char1"/>
    <w:basedOn w:val="17"/>
    <w:link w:val="2"/>
    <w:semiHidden/>
    <w:qFormat/>
    <w:uiPriority w:val="99"/>
    <w:rPr>
      <w:rFonts w:ascii="Times New Roman" w:hAnsi="Times New Roman" w:eastAsia="宋体" w:cs="Times New Roman"/>
    </w:rPr>
  </w:style>
  <w:style w:type="character" w:customStyle="1" w:styleId="39">
    <w:name w:val="批注主题 Char1"/>
    <w:basedOn w:val="38"/>
    <w:semiHidden/>
    <w:qFormat/>
    <w:uiPriority w:val="99"/>
    <w:rPr>
      <w:rFonts w:ascii="Times New Roman" w:hAnsi="Times New Roman" w:eastAsia="宋体" w:cs="Times New Roman"/>
      <w:b/>
      <w:bCs/>
    </w:rPr>
  </w:style>
  <w:style w:type="character" w:customStyle="1" w:styleId="40">
    <w:name w:val="批注框文本 Char1"/>
    <w:basedOn w:val="17"/>
    <w:semiHidden/>
    <w:qFormat/>
    <w:uiPriority w:val="99"/>
    <w:rPr>
      <w:rFonts w:ascii="Times New Roman" w:hAnsi="Times New Roman" w:eastAsia="宋体" w:cs="Times New Roman"/>
      <w:sz w:val="18"/>
      <w:szCs w:val="18"/>
    </w:rPr>
  </w:style>
  <w:style w:type="character" w:customStyle="1" w:styleId="41">
    <w:name w:val="正文文本缩进 2 Char1"/>
    <w:basedOn w:val="17"/>
    <w:semiHidden/>
    <w:qFormat/>
    <w:uiPriority w:val="99"/>
    <w:rPr>
      <w:rFonts w:ascii="Times New Roman" w:hAnsi="Times New Roman" w:eastAsia="宋体" w:cs="Times New Roman"/>
    </w:rPr>
  </w:style>
  <w:style w:type="character" w:customStyle="1" w:styleId="42">
    <w:name w:val="纯文本 Char1"/>
    <w:basedOn w:val="17"/>
    <w:semiHidden/>
    <w:qFormat/>
    <w:uiPriority w:val="99"/>
    <w:rPr>
      <w:rFonts w:ascii="宋体" w:hAnsi="Courier New" w:eastAsia="宋体" w:cs="Courier New"/>
      <w:szCs w:val="21"/>
    </w:rPr>
  </w:style>
  <w:style w:type="character" w:customStyle="1" w:styleId="43">
    <w:name w:val="正文文本缩进 Char1"/>
    <w:basedOn w:val="17"/>
    <w:semiHidden/>
    <w:qFormat/>
    <w:uiPriority w:val="99"/>
    <w:rPr>
      <w:rFonts w:ascii="Times New Roman" w:hAnsi="Times New Roman" w:eastAsia="宋体" w:cs="Times New Roman"/>
    </w:rPr>
  </w:style>
  <w:style w:type="character" w:customStyle="1" w:styleId="44">
    <w:name w:val="脚注文本 Char1"/>
    <w:basedOn w:val="17"/>
    <w:semiHidden/>
    <w:qFormat/>
    <w:uiPriority w:val="99"/>
    <w:rPr>
      <w:rFonts w:ascii="Times New Roman" w:hAnsi="Times New Roman" w:eastAsia="宋体" w:cs="Times New Roman"/>
      <w:sz w:val="18"/>
      <w:szCs w:val="18"/>
    </w:rPr>
  </w:style>
  <w:style w:type="character" w:customStyle="1" w:styleId="45">
    <w:name w:val="正文文本 Char1"/>
    <w:basedOn w:val="17"/>
    <w:semiHidden/>
    <w:qFormat/>
    <w:uiPriority w:val="99"/>
    <w:rPr>
      <w:rFonts w:ascii="Times New Roman" w:hAnsi="Times New Roman" w:eastAsia="宋体" w:cs="Times New Roman"/>
    </w:rPr>
  </w:style>
  <w:style w:type="paragraph" w:customStyle="1" w:styleId="46">
    <w:name w:val="样式1"/>
    <w:basedOn w:val="10"/>
    <w:qFormat/>
    <w:uiPriority w:val="0"/>
    <w:rPr>
      <w:rFonts w:ascii="Times New Roman" w:eastAsia="宋体"/>
      <w:sz w:val="21"/>
    </w:rPr>
  </w:style>
  <w:style w:type="paragraph" w:styleId="47">
    <w:name w:val="List Paragraph"/>
    <w:basedOn w:val="1"/>
    <w:qFormat/>
    <w:uiPriority w:val="34"/>
    <w:pPr>
      <w:ind w:firstLine="420" w:firstLineChars="200"/>
    </w:pPr>
  </w:style>
  <w:style w:type="paragraph" w:styleId="48">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49">
    <w:name w:val="sourcetitl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0">
    <w:name w:val="fr_field"/>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51">
    <w:name w:val="fontstyle01"/>
    <w:basedOn w:val="17"/>
    <w:qFormat/>
    <w:uiPriority w:val="0"/>
    <w:rPr>
      <w:rFonts w:hint="default" w:ascii="TimesNewRomanPSMT" w:hAnsi="TimesNewRomanPSMT"/>
      <w:color w:val="000000"/>
      <w:sz w:val="22"/>
      <w:szCs w:val="22"/>
    </w:rPr>
  </w:style>
  <w:style w:type="character" w:customStyle="1" w:styleId="52">
    <w:name w:val="副标题 Char"/>
    <w:basedOn w:val="17"/>
    <w:link w:val="11"/>
    <w:qFormat/>
    <w:uiPriority w:val="0"/>
    <w:rPr>
      <w:rFonts w:ascii="Cambria" w:hAnsi="Cambria" w:eastAsia="宋体" w:cs="Times New Roman"/>
      <w:b/>
      <w:bCs/>
      <w:kern w:val="28"/>
      <w:sz w:val="24"/>
      <w:szCs w:val="32"/>
    </w:rPr>
  </w:style>
  <w:style w:type="paragraph" w:customStyle="1" w:styleId="53">
    <w:name w:val="标准2"/>
    <w:basedOn w:val="1"/>
    <w:qFormat/>
    <w:uiPriority w:val="0"/>
    <w:pPr>
      <w:adjustRightInd w:val="0"/>
      <w:spacing w:before="120" w:after="120" w:line="312" w:lineRule="atLeast"/>
    </w:pPr>
    <w:rPr>
      <w:rFonts w:ascii="宋体"/>
      <w:kern w:val="0"/>
      <w:szCs w:val="20"/>
    </w:rPr>
  </w:style>
  <w:style w:type="paragraph" w:customStyle="1" w:styleId="54">
    <w:name w:val="标准"/>
    <w:basedOn w:val="1"/>
    <w:qFormat/>
    <w:uiPriority w:val="0"/>
    <w:pPr>
      <w:adjustRightInd w:val="0"/>
      <w:spacing w:before="120" w:after="120" w:line="312" w:lineRule="atLeast"/>
    </w:pPr>
    <w:rPr>
      <w:rFonts w:ascii="宋体"/>
      <w:kern w:val="0"/>
      <w:szCs w:val="20"/>
    </w:rPr>
  </w:style>
  <w:style w:type="paragraph" w:customStyle="1" w:styleId="55">
    <w:name w:val="Char"/>
    <w:basedOn w:val="1"/>
    <w:qFormat/>
    <w:uiPriority w:val="0"/>
    <w:pPr>
      <w:widowControl/>
      <w:spacing w:after="160" w:line="240" w:lineRule="exact"/>
      <w:jc w:val="left"/>
    </w:pPr>
    <w:rPr>
      <w:rFonts w:ascii="Arial" w:hAnsi="Arial" w:eastAsia="Times New Roman" w:cs="Verdana"/>
      <w:b/>
      <w:kern w:val="0"/>
      <w:sz w:val="24"/>
      <w:szCs w:val="24"/>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D8527A-C594-4E27-A2DB-6D8099392068}">
  <ds:schemaRefs/>
</ds:datastoreItem>
</file>

<file path=docProps/app.xml><?xml version="1.0" encoding="utf-8"?>
<Properties xmlns="http://schemas.openxmlformats.org/officeDocument/2006/extended-properties" xmlns:vt="http://schemas.openxmlformats.org/officeDocument/2006/docPropsVTypes">
  <Template>Normal</Template>
  <Pages>35</Pages>
  <Words>4158</Words>
  <Characters>23707</Characters>
  <Lines>197</Lines>
  <Paragraphs>55</Paragraphs>
  <TotalTime>0</TotalTime>
  <ScaleCrop>false</ScaleCrop>
  <LinksUpToDate>false</LinksUpToDate>
  <CharactersWithSpaces>27810</CharactersWithSpaces>
  <Application>WPS Office_11.1.0.8907_F1E327BC-269C-435d-A152-05C5408002CA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2019-07-25T00:21:00Z</dcterms:created>
  <dc:creator>dell</dc:creator>
  <cp:lastModifiedBy>zxr19</cp:lastModifiedBy>
  <cp:lastPrinted>2019-08-22T11:04:00Z</cp:lastPrinted>
  <dcterms:modified xsi:type="dcterms:W3CDTF">2019-08-26T08:42:10Z</dcterms:modified>
  <cp:revision>381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