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FA087">
      <w:pPr>
        <w:rPr>
          <w:rFonts w:hint="eastAsia" w:ascii="方正小标宋简体" w:hAnsi="方正小标宋简体" w:eastAsia="黑体" w:cs="方正小标宋简体"/>
          <w:sz w:val="36"/>
          <w:szCs w:val="36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 w14:paraId="5D1490D4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第四届全国大学生职业规划大赛职业</w:t>
      </w:r>
      <w:r>
        <w:rPr>
          <w:rFonts w:hint="eastAsia" w:cs="方正小标宋简体"/>
          <w:sz w:val="36"/>
          <w:szCs w:val="36"/>
          <w:lang w:val="en-US" w:eastAsia="zh-CN"/>
        </w:rPr>
        <w:t>规划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目标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指引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清单</w:t>
      </w:r>
    </w:p>
    <w:p w14:paraId="4C98AF04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供参考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p w14:paraId="33DDA48B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</w:p>
    <w:p w14:paraId="362C65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一、人工智能+新质生产力方向</w:t>
      </w:r>
      <w:bookmarkStart w:id="0" w:name="_GoBack"/>
      <w:bookmarkEnd w:id="0"/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41"/>
        <w:gridCol w:w="3834"/>
        <w:gridCol w:w="3046"/>
      </w:tblGrid>
      <w:tr w14:paraId="3A79BA12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75F10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78" w:type="pct"/>
            <w:vAlign w:val="center"/>
          </w:tcPr>
          <w:p w14:paraId="1C458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19926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80F17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0608B39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69B16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AI算法工程师/人工智能产品经理</w:t>
            </w:r>
          </w:p>
        </w:tc>
        <w:tc>
          <w:tcPr>
            <w:tcW w:w="2078" w:type="pct"/>
            <w:vAlign w:val="center"/>
          </w:tcPr>
          <w:p w14:paraId="6ED04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“十五五”纲要培育具身智能等新增长点；广西三年450亿支持AI引领新质生产力发展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1FAE0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80F17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人工智能、计算机科学与技术、数据科学与大数据技术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6A0BE5F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659C3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智能教育产品研发专员</w:t>
            </w:r>
          </w:p>
        </w:tc>
        <w:tc>
          <w:tcPr>
            <w:tcW w:w="2078" w:type="pct"/>
            <w:vAlign w:val="center"/>
          </w:tcPr>
          <w:p w14:paraId="2F9CD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人工智能赋能教育，深入推进教育数字化转型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2493E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教育技术学、人工智能、计算机科学与技术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1F6CB17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79C45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工业互联网解决方案架构师</w:t>
            </w:r>
          </w:p>
        </w:tc>
        <w:tc>
          <w:tcPr>
            <w:tcW w:w="2078" w:type="pct"/>
            <w:vAlign w:val="center"/>
          </w:tcPr>
          <w:p w14:paraId="07638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广西政府工作报告推动工业互联网与AI融合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0B563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软件工程、信息安全、通信工程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4B4EAE6E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3C6E3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智能制造工程师</w:t>
            </w:r>
          </w:p>
        </w:tc>
        <w:tc>
          <w:tcPr>
            <w:tcW w:w="2078" w:type="pct"/>
            <w:vAlign w:val="center"/>
          </w:tcPr>
          <w:p w14:paraId="0DAC5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广西大力发展先进制造业，培育智能工厂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42CF8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智能制造工程、测控技术与仪器、工业设计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4FE9DE73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216D8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新能源汽车工程技术人员</w:t>
            </w:r>
          </w:p>
        </w:tc>
        <w:tc>
          <w:tcPr>
            <w:tcW w:w="2078" w:type="pct"/>
            <w:vAlign w:val="center"/>
          </w:tcPr>
          <w:p w14:paraId="53233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新能源汽车全产业链布局，锂电池产量增长54.5%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774F9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新能源汽车工程、电子信息工程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6F72951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69" w:type="pct"/>
            <w:vAlign w:val="center"/>
          </w:tcPr>
          <w:p w14:paraId="5686B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智能装备开发工程师</w:t>
            </w:r>
          </w:p>
        </w:tc>
        <w:tc>
          <w:tcPr>
            <w:tcW w:w="2078" w:type="pct"/>
            <w:vAlign w:val="center"/>
          </w:tcPr>
          <w:p w14:paraId="14411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面向有色金属、钢铁等行业开发垂类智能体</w:t>
            </w:r>
          </w:p>
        </w:tc>
        <w:tc>
          <w:tcPr>
            <w:tcW w:w="1651" w:type="pct"/>
            <w:shd w:val="clear" w:color="auto" w:fill="auto"/>
            <w:vAlign w:val="center"/>
          </w:tcPr>
          <w:p w14:paraId="0050C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电子科学与技术、通信工程、电子信息工程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0F0992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二、向海图强与面向东盟发展方向</w:t>
      </w:r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52"/>
        <w:gridCol w:w="3821"/>
        <w:gridCol w:w="3048"/>
      </w:tblGrid>
      <w:tr w14:paraId="2409B7D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76DB0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71" w:type="pct"/>
            <w:vAlign w:val="center"/>
          </w:tcPr>
          <w:p w14:paraId="1F3BE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52" w:type="pct"/>
            <w:shd w:val="clear" w:color="auto" w:fill="auto"/>
            <w:vAlign w:val="center"/>
          </w:tcPr>
          <w:p w14:paraId="27C3F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080F17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7BD4BD5B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127F0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东盟跨境商务专员</w:t>
            </w:r>
          </w:p>
        </w:tc>
        <w:tc>
          <w:tcPr>
            <w:tcW w:w="2071" w:type="pct"/>
            <w:vAlign w:val="center"/>
          </w:tcPr>
          <w:p w14:paraId="7504A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建设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中国—东盟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信息港；对东盟进出口持续增长</w:t>
            </w:r>
          </w:p>
        </w:tc>
        <w:tc>
          <w:tcPr>
            <w:tcW w:w="1652" w:type="pct"/>
            <w:shd w:val="clear" w:color="auto" w:fill="auto"/>
            <w:vAlign w:val="center"/>
          </w:tcPr>
          <w:p w14:paraId="686DE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越南语、英语、日语、朝鲜语、翻译、国际经济与贸易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5C0C8F28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59AF8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平陆运河经济带产业规划师</w:t>
            </w:r>
          </w:p>
        </w:tc>
        <w:tc>
          <w:tcPr>
            <w:tcW w:w="2071" w:type="pct"/>
            <w:vAlign w:val="center"/>
          </w:tcPr>
          <w:p w14:paraId="79C62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平陆运河加快建设，“向海图强”广西支柱</w:t>
            </w:r>
          </w:p>
        </w:tc>
        <w:tc>
          <w:tcPr>
            <w:tcW w:w="1652" w:type="pct"/>
            <w:shd w:val="clear" w:color="auto" w:fill="auto"/>
            <w:vAlign w:val="center"/>
          </w:tcPr>
          <w:p w14:paraId="66653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经济学、金融学、工商管理、行政管理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52B1341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3345E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跨境物流运营管理师</w:t>
            </w:r>
          </w:p>
        </w:tc>
        <w:tc>
          <w:tcPr>
            <w:tcW w:w="2071" w:type="pct"/>
            <w:vAlign w:val="center"/>
          </w:tcPr>
          <w:p w14:paraId="4917A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北部湾港通达全球，跨境物流需求旺盛</w:t>
            </w:r>
          </w:p>
        </w:tc>
        <w:tc>
          <w:tcPr>
            <w:tcW w:w="1652" w:type="pct"/>
            <w:shd w:val="clear" w:color="auto" w:fill="auto"/>
            <w:vAlign w:val="center"/>
          </w:tcPr>
          <w:p w14:paraId="12265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电子商务、旅游管理、电子信息工程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2C246945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43CBD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国际汉语教育专员</w:t>
            </w:r>
          </w:p>
        </w:tc>
        <w:tc>
          <w:tcPr>
            <w:tcW w:w="2071" w:type="pct"/>
            <w:vAlign w:val="center"/>
          </w:tcPr>
          <w:p w14:paraId="33387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中国—东盟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人文交流，推动汉语国际传播</w:t>
            </w:r>
          </w:p>
        </w:tc>
        <w:tc>
          <w:tcPr>
            <w:tcW w:w="1652" w:type="pct"/>
            <w:shd w:val="clear" w:color="auto" w:fill="auto"/>
            <w:vAlign w:val="center"/>
          </w:tcPr>
          <w:p w14:paraId="2ED9F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汉语国际教育、英语、越南语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01B64EE5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6B50E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面向东盟的涉外法务专员</w:t>
            </w:r>
          </w:p>
        </w:tc>
        <w:tc>
          <w:tcPr>
            <w:tcW w:w="2071" w:type="pct"/>
            <w:vAlign w:val="center"/>
          </w:tcPr>
          <w:p w14:paraId="46B90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中国—东盟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自贸区建设，培养国际法治人才</w:t>
            </w:r>
          </w:p>
        </w:tc>
        <w:tc>
          <w:tcPr>
            <w:tcW w:w="1652" w:type="pct"/>
            <w:shd w:val="clear" w:color="auto" w:fill="auto"/>
            <w:vAlign w:val="center"/>
          </w:tcPr>
          <w:p w14:paraId="473D9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法学、政治学与行政学、社会工作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071BF9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三、乡村振兴与现代化大农业方向</w:t>
      </w:r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63"/>
        <w:gridCol w:w="3821"/>
        <w:gridCol w:w="3037"/>
      </w:tblGrid>
      <w:tr w14:paraId="7932CD1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1FD40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71" w:type="pct"/>
            <w:vAlign w:val="center"/>
          </w:tcPr>
          <w:p w14:paraId="1CDAB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46" w:type="pct"/>
            <w:shd w:val="clear" w:color="auto" w:fill="auto"/>
            <w:vAlign w:val="center"/>
          </w:tcPr>
          <w:p w14:paraId="7D23D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80F17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43777994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0F2FE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现代农业技术推广与生态保护</w:t>
            </w:r>
          </w:p>
        </w:tc>
        <w:tc>
          <w:tcPr>
            <w:tcW w:w="2071" w:type="pct"/>
            <w:vAlign w:val="center"/>
          </w:tcPr>
          <w:p w14:paraId="2B4F2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建设国家现代农业产业园，做强糖业优势特色产业</w:t>
            </w:r>
          </w:p>
        </w:tc>
        <w:tc>
          <w:tcPr>
            <w:tcW w:w="1646" w:type="pct"/>
            <w:shd w:val="clear" w:color="auto" w:fill="auto"/>
            <w:vAlign w:val="center"/>
          </w:tcPr>
          <w:p w14:paraId="1D6DD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生态学、生物科学、环境科学、环境工程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24B28B8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507BD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蔗糖精深加工研发工程师</w:t>
            </w:r>
          </w:p>
        </w:tc>
        <w:tc>
          <w:tcPr>
            <w:tcW w:w="2071" w:type="pct"/>
            <w:vAlign w:val="center"/>
          </w:tcPr>
          <w:p w14:paraId="48CF1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推动糖业高端化、智能化、绿色化发展</w:t>
            </w:r>
          </w:p>
        </w:tc>
        <w:tc>
          <w:tcPr>
            <w:tcW w:w="1646" w:type="pct"/>
            <w:shd w:val="clear" w:color="auto" w:fill="auto"/>
            <w:vAlign w:val="center"/>
          </w:tcPr>
          <w:p w14:paraId="14393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应用化学、化学、制药工程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1948A82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197F9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农村电商品牌运营专员</w:t>
            </w:r>
          </w:p>
        </w:tc>
        <w:tc>
          <w:tcPr>
            <w:tcW w:w="2071" w:type="pct"/>
            <w:vAlign w:val="center"/>
          </w:tcPr>
          <w:p w14:paraId="23907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以数智化赋能农产品上行，服务乡村振兴</w:t>
            </w:r>
          </w:p>
        </w:tc>
        <w:tc>
          <w:tcPr>
            <w:tcW w:w="1646" w:type="pct"/>
            <w:shd w:val="clear" w:color="auto" w:fill="auto"/>
            <w:vAlign w:val="center"/>
          </w:tcPr>
          <w:p w14:paraId="657A7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电子商务、网络与新媒体、新闻学、工商管理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569FDB8E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1E1C0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乡村文旅策划师</w:t>
            </w:r>
          </w:p>
        </w:tc>
        <w:tc>
          <w:tcPr>
            <w:tcW w:w="2071" w:type="pct"/>
            <w:vAlign w:val="center"/>
          </w:tcPr>
          <w:p w14:paraId="302F1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推动文旅数字化，建设“壮美广西”</w:t>
            </w:r>
          </w:p>
        </w:tc>
        <w:tc>
          <w:tcPr>
            <w:tcW w:w="1646" w:type="pct"/>
            <w:shd w:val="clear" w:color="auto" w:fill="auto"/>
            <w:vAlign w:val="center"/>
          </w:tcPr>
          <w:p w14:paraId="23233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旅游管理、文化产业管理、环境设计、视觉传达设计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7CC5F940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42761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基层社会治理与服务专员</w:t>
            </w:r>
          </w:p>
        </w:tc>
        <w:tc>
          <w:tcPr>
            <w:tcW w:w="2071" w:type="pct"/>
            <w:vAlign w:val="center"/>
          </w:tcPr>
          <w:p w14:paraId="36C7F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推动边疆民族地区高质量发展，建设多民族互嵌式社区</w:t>
            </w:r>
          </w:p>
        </w:tc>
        <w:tc>
          <w:tcPr>
            <w:tcW w:w="1646" w:type="pct"/>
            <w:shd w:val="clear" w:color="auto" w:fill="auto"/>
            <w:vAlign w:val="center"/>
          </w:tcPr>
          <w:p w14:paraId="6EB79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社会工作、劳动与社会保障、政治学与行政学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38558F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四、绿色低碳与生态文明建设方向</w:t>
      </w:r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63"/>
        <w:gridCol w:w="3819"/>
        <w:gridCol w:w="3039"/>
      </w:tblGrid>
      <w:tr w14:paraId="7BF7F217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</w:tblPrEx>
        <w:trPr>
          <w:trHeight w:val="396" w:hRule="atLeast"/>
        </w:trPr>
        <w:tc>
          <w:tcPr>
            <w:tcW w:w="1281" w:type="pct"/>
            <w:vAlign w:val="center"/>
          </w:tcPr>
          <w:p w14:paraId="44437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70" w:type="pct"/>
            <w:vAlign w:val="center"/>
          </w:tcPr>
          <w:p w14:paraId="59A5C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3ECB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80F17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668B34E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316E8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生态保护与修复工程师</w:t>
            </w:r>
          </w:p>
        </w:tc>
        <w:tc>
          <w:tcPr>
            <w:tcW w:w="2070" w:type="pct"/>
            <w:vAlign w:val="center"/>
          </w:tcPr>
          <w:p w14:paraId="42126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“十五五”纲要加快绿色低碳转型；广西“生态优势金不换”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55249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生态学、环境科学、环境工程、地理科学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2E65ACDE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7" w:hRule="atLeast"/>
        </w:trPr>
        <w:tc>
          <w:tcPr>
            <w:tcW w:w="1281" w:type="pct"/>
            <w:vAlign w:val="center"/>
          </w:tcPr>
          <w:p w14:paraId="4845C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双碳战略咨询顾问</w:t>
            </w:r>
          </w:p>
        </w:tc>
        <w:tc>
          <w:tcPr>
            <w:tcW w:w="2070" w:type="pct"/>
            <w:vAlign w:val="center"/>
          </w:tcPr>
          <w:p w14:paraId="68FD8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碳排放总量控制及减污降碳协同增效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2559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环境科学、经济学、金融学、统计学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31515208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2A085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环境监测与评价专员</w:t>
            </w:r>
          </w:p>
        </w:tc>
        <w:tc>
          <w:tcPr>
            <w:tcW w:w="2070" w:type="pct"/>
            <w:vAlign w:val="center"/>
          </w:tcPr>
          <w:p w14:paraId="06DEF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筑牢南方生态安全屏障，建设美丽广西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DEAB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环境工程、应用化学、地理信息科学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4FD3C8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五、制造业十大支柱产业方向</w:t>
      </w:r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52"/>
        <w:gridCol w:w="3845"/>
        <w:gridCol w:w="3024"/>
      </w:tblGrid>
      <w:tr w14:paraId="66C9BB8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66123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84" w:type="pct"/>
            <w:vAlign w:val="center"/>
          </w:tcPr>
          <w:p w14:paraId="414FE0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39" w:type="pct"/>
            <w:shd w:val="clear" w:color="auto" w:fill="auto"/>
            <w:vAlign w:val="center"/>
          </w:tcPr>
          <w:p w14:paraId="2FC8D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default" w:ascii="楷体_GB2312" w:hAnsi="楷体_GB2312" w:eastAsia="楷体_GB2312" w:cs="楷体_GB2312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49FFAF1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7B02D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电子信息与集成电路工程师</w:t>
            </w:r>
          </w:p>
        </w:tc>
        <w:tc>
          <w:tcPr>
            <w:tcW w:w="2084" w:type="pct"/>
            <w:vAlign w:val="center"/>
          </w:tcPr>
          <w:p w14:paraId="6B127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广西发展电子信息产业，融入粤港澳大湾区产业链</w:t>
            </w:r>
          </w:p>
        </w:tc>
        <w:tc>
          <w:tcPr>
            <w:tcW w:w="1639" w:type="pct"/>
            <w:shd w:val="clear" w:color="auto" w:fill="auto"/>
            <w:vAlign w:val="center"/>
          </w:tcPr>
          <w:p w14:paraId="1A47F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电子信息工程、电子科学与技术、通信工程、人工智能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4F0AAC33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22D29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汽车制造与新能源汽车工程师</w:t>
            </w:r>
          </w:p>
        </w:tc>
        <w:tc>
          <w:tcPr>
            <w:tcW w:w="2084" w:type="pct"/>
            <w:vAlign w:val="center"/>
          </w:tcPr>
          <w:p w14:paraId="71973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智能网联新能源汽车全产业链布局</w:t>
            </w:r>
          </w:p>
        </w:tc>
        <w:tc>
          <w:tcPr>
            <w:tcW w:w="1639" w:type="pct"/>
            <w:shd w:val="clear" w:color="auto" w:fill="auto"/>
            <w:vAlign w:val="center"/>
          </w:tcPr>
          <w:p w14:paraId="126BD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新能源汽车工程、智能制造工程、测控技术与仪器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190BCBD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06023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生物医药研发工程师</w:t>
            </w:r>
          </w:p>
        </w:tc>
        <w:tc>
          <w:tcPr>
            <w:tcW w:w="2084" w:type="pct"/>
            <w:vAlign w:val="center"/>
          </w:tcPr>
          <w:p w14:paraId="226F3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培育生物制造未来产业</w:t>
            </w:r>
          </w:p>
        </w:tc>
        <w:tc>
          <w:tcPr>
            <w:tcW w:w="1639" w:type="pct"/>
            <w:shd w:val="clear" w:color="auto" w:fill="auto"/>
            <w:vAlign w:val="center"/>
          </w:tcPr>
          <w:p w14:paraId="69A69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生物科学、生物技术、制药工程、应用化学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2D47B380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75" w:type="pct"/>
            <w:vAlign w:val="center"/>
          </w:tcPr>
          <w:p w14:paraId="0E5E2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新材料研发工程师</w:t>
            </w:r>
          </w:p>
        </w:tc>
        <w:tc>
          <w:tcPr>
            <w:tcW w:w="2084" w:type="pct"/>
            <w:vAlign w:val="center"/>
          </w:tcPr>
          <w:p w14:paraId="25FE6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服务战略性新兴产业，推动新材料研发</w:t>
            </w:r>
          </w:p>
        </w:tc>
        <w:tc>
          <w:tcPr>
            <w:tcW w:w="1639" w:type="pct"/>
            <w:shd w:val="clear" w:color="auto" w:fill="auto"/>
            <w:vAlign w:val="center"/>
          </w:tcPr>
          <w:p w14:paraId="754A5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应用化学、化学、物理学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68DAD8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六、师范教育与文化传承方向</w:t>
      </w:r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63"/>
        <w:gridCol w:w="3843"/>
        <w:gridCol w:w="3015"/>
      </w:tblGrid>
      <w:tr w14:paraId="49CDED80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121AE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83" w:type="pct"/>
            <w:vAlign w:val="center"/>
          </w:tcPr>
          <w:p w14:paraId="08B3B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2576C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80F17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35EE153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6BA62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中小学卓越教师</w:t>
            </w:r>
          </w:p>
        </w:tc>
        <w:tc>
          <w:tcPr>
            <w:tcW w:w="2083" w:type="pct"/>
            <w:vAlign w:val="center"/>
          </w:tcPr>
          <w:p w14:paraId="3FCD2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健全与人口变化相适应的教育资源配置，推动基础教育优质均衡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5AABC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师范专业</w:t>
            </w:r>
          </w:p>
        </w:tc>
      </w:tr>
      <w:tr w14:paraId="38E475E3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6AE48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职业技术教育“双师型”教师</w:t>
            </w:r>
          </w:p>
        </w:tc>
        <w:tc>
          <w:tcPr>
            <w:tcW w:w="2083" w:type="pct"/>
            <w:vAlign w:val="center"/>
          </w:tcPr>
          <w:p w14:paraId="02D5C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全国职教师资培养重点基地，对接广西现代职业教育体系建设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1BC6F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智能制造工程、新能源汽车工程、电子商务、旅游管理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等职教方向专业</w:t>
            </w:r>
          </w:p>
        </w:tc>
      </w:tr>
      <w:tr w14:paraId="2181AA6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66638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特殊教育教师</w:t>
            </w:r>
          </w:p>
        </w:tc>
        <w:tc>
          <w:tcPr>
            <w:tcW w:w="2083" w:type="pct"/>
            <w:vAlign w:val="center"/>
          </w:tcPr>
          <w:p w14:paraId="3D5BD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服务特殊儿童教育需求，体现教育公平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6A57A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特殊教育、教育康复相关方向</w:t>
            </w:r>
          </w:p>
        </w:tc>
      </w:tr>
      <w:tr w14:paraId="6768EAB2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662C2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学前教育/小学教育骨干教师</w:t>
            </w:r>
          </w:p>
        </w:tc>
        <w:tc>
          <w:tcPr>
            <w:tcW w:w="2083" w:type="pct"/>
            <w:vAlign w:val="center"/>
          </w:tcPr>
          <w:p w14:paraId="77A94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应对人口变化，提升普惠性学前教育质量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0FFD3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eastAsia" w:ascii="Times New Roman" w:hAnsi="Times New Roman" w:eastAsia="仿宋_GB2312" w:cs="Times New Roman"/>
                <w:color w:val="080F17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学前教育、小学教育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72D84ADE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06A13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心理健康教育教师</w:t>
            </w:r>
          </w:p>
        </w:tc>
        <w:tc>
          <w:tcPr>
            <w:tcW w:w="2083" w:type="pct"/>
            <w:vAlign w:val="center"/>
          </w:tcPr>
          <w:p w14:paraId="5BCD4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服务中小学生心理健康战略需求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21D00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应用心理学、教育学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3641F408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27D34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科学教育教师</w:t>
            </w:r>
          </w:p>
        </w:tc>
        <w:tc>
          <w:tcPr>
            <w:tcW w:w="2083" w:type="pct"/>
            <w:vAlign w:val="center"/>
          </w:tcPr>
          <w:p w14:paraId="5ECE2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加强科学教育，培养科技创新后备人才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48F2E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科学教育、教育技术学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04396C2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1F09E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音乐/美术/舞蹈/书法教师</w:t>
            </w:r>
          </w:p>
        </w:tc>
        <w:tc>
          <w:tcPr>
            <w:tcW w:w="2083" w:type="pct"/>
            <w:vAlign w:val="center"/>
          </w:tcPr>
          <w:p w14:paraId="4B10C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加强美育工作，传承中华优秀传统文化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0E804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音乐学、美术学、舞蹈学、书法学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237819EC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4AA7D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体育教师</w:t>
            </w:r>
          </w:p>
        </w:tc>
        <w:tc>
          <w:tcPr>
            <w:tcW w:w="2083" w:type="pct"/>
            <w:vAlign w:val="center"/>
          </w:tcPr>
          <w:p w14:paraId="1EB10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服务“健康中国”，提升青少年体质健康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334FD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体育教育、社会体育指导与管理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47B65474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3AB85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民族文化传承与创新专员</w:t>
            </w:r>
          </w:p>
        </w:tc>
        <w:tc>
          <w:tcPr>
            <w:tcW w:w="2083" w:type="pct"/>
            <w:vAlign w:val="center"/>
          </w:tcPr>
          <w:p w14:paraId="27066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铸牢中华民族共同体意识，推动少数民族非遗传承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3FFFF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汉语言文学、历史学、文化产业管理、绘画、环境设计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78F3C155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27EC3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国际中文教师</w:t>
            </w:r>
          </w:p>
        </w:tc>
        <w:tc>
          <w:tcPr>
            <w:tcW w:w="2083" w:type="pct"/>
            <w:vAlign w:val="center"/>
          </w:tcPr>
          <w:p w14:paraId="64FA4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“一带一路”沿线国家中文教育需求旺盛</w:t>
            </w:r>
          </w:p>
        </w:tc>
        <w:tc>
          <w:tcPr>
            <w:tcW w:w="1634" w:type="pct"/>
            <w:shd w:val="clear" w:color="auto" w:fill="auto"/>
            <w:vAlign w:val="center"/>
          </w:tcPr>
          <w:p w14:paraId="74039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080F17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汉语国际教育、英语、翻译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673FD4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1" w:beforeLines="50" w:after="121" w:afterLines="50" w:line="600" w:lineRule="exact"/>
        <w:jc w:val="both"/>
        <w:textAlignment w:val="baseline"/>
        <w:outlineLvl w:val="9"/>
        <w:rPr>
          <w:rFonts w:hint="default" w:ascii="黑体" w:hAnsi="黑体" w:eastAsia="黑体" w:cs="黑体"/>
          <w:b w:val="0"/>
          <w:bCs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z w:val="32"/>
          <w:szCs w:val="32"/>
        </w:rPr>
        <w:t>七、数字创意与新媒体方向</w:t>
      </w:r>
    </w:p>
    <w:tbl>
      <w:tblPr>
        <w:tblStyle w:val="12"/>
        <w:tblW w:w="4996" w:type="pct"/>
        <w:tblInd w:w="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autofit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363"/>
        <w:gridCol w:w="3865"/>
        <w:gridCol w:w="2993"/>
      </w:tblGrid>
      <w:tr w14:paraId="59F228DE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69CB1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职业方向</w:t>
            </w:r>
          </w:p>
        </w:tc>
        <w:tc>
          <w:tcPr>
            <w:tcW w:w="2095" w:type="pct"/>
            <w:vAlign w:val="center"/>
          </w:tcPr>
          <w:p w14:paraId="0D758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对接国家/区域战略</w:t>
            </w:r>
          </w:p>
        </w:tc>
        <w:tc>
          <w:tcPr>
            <w:tcW w:w="1622" w:type="pct"/>
            <w:shd w:val="clear" w:color="auto" w:fill="auto"/>
            <w:vAlign w:val="center"/>
          </w:tcPr>
          <w:p w14:paraId="2BAE0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80F17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契合专业建议</w:t>
            </w:r>
          </w:p>
        </w:tc>
      </w:tr>
      <w:tr w14:paraId="7B9DAC1C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68260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融媒体内容策划与运营</w:t>
            </w:r>
          </w:p>
        </w:tc>
        <w:tc>
          <w:tcPr>
            <w:tcW w:w="2095" w:type="pct"/>
            <w:vAlign w:val="center"/>
          </w:tcPr>
          <w:p w14:paraId="333C3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加强全媒体传播体系建设，讲好广西故事</w:t>
            </w:r>
          </w:p>
        </w:tc>
        <w:tc>
          <w:tcPr>
            <w:tcW w:w="1622" w:type="pct"/>
            <w:shd w:val="clear" w:color="auto" w:fill="auto"/>
            <w:vAlign w:val="center"/>
          </w:tcPr>
          <w:p w14:paraId="3996D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eastAsia" w:ascii="Times New Roman" w:hAnsi="Times New Roman" w:eastAsia="仿宋_GB2312" w:cs="Times New Roman"/>
                <w:color w:val="080F17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新闻学、网络与新媒体、动画、视觉传达设计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4504CCD5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1ED4E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数字文旅体验设计</w:t>
            </w:r>
          </w:p>
        </w:tc>
        <w:tc>
          <w:tcPr>
            <w:tcW w:w="2095" w:type="pct"/>
            <w:vAlign w:val="center"/>
          </w:tcPr>
          <w:p w14:paraId="4B179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推动文旅领域数字化、沉浸式体验升级</w:t>
            </w:r>
          </w:p>
        </w:tc>
        <w:tc>
          <w:tcPr>
            <w:tcW w:w="1622" w:type="pct"/>
            <w:shd w:val="clear" w:color="auto" w:fill="auto"/>
            <w:vAlign w:val="center"/>
          </w:tcPr>
          <w:p w14:paraId="561B4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eastAsia" w:ascii="Times New Roman" w:hAnsi="Times New Roman" w:eastAsia="仿宋_GB2312" w:cs="Times New Roman"/>
                <w:color w:val="080F17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旅游管理、文化产业管理、环境设计、视觉传达设计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  <w:tr w14:paraId="72E51F2C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1281" w:type="pct"/>
            <w:vAlign w:val="center"/>
          </w:tcPr>
          <w:p w14:paraId="3CABF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品牌设计与传播</w:t>
            </w:r>
          </w:p>
        </w:tc>
        <w:tc>
          <w:tcPr>
            <w:tcW w:w="2095" w:type="pct"/>
            <w:vAlign w:val="center"/>
          </w:tcPr>
          <w:p w14:paraId="08D0F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服务广西特色品牌建设，提升文化软实力</w:t>
            </w:r>
          </w:p>
        </w:tc>
        <w:tc>
          <w:tcPr>
            <w:tcW w:w="1622" w:type="pct"/>
            <w:shd w:val="clear" w:color="auto" w:fill="auto"/>
            <w:vAlign w:val="center"/>
          </w:tcPr>
          <w:p w14:paraId="0D095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outlineLvl w:val="9"/>
              <w:rPr>
                <w:rFonts w:hint="eastAsia" w:ascii="Times New Roman" w:hAnsi="Times New Roman" w:eastAsia="仿宋_GB2312" w:cs="Times New Roman"/>
                <w:color w:val="080F17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视觉传达设计、服装与服饰设计、动画、绘画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</w:t>
            </w:r>
          </w:p>
        </w:tc>
      </w:tr>
    </w:tbl>
    <w:p w14:paraId="110B54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jc w:val="both"/>
        <w:outlineLvl w:val="9"/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footerReference r:id="rId3" w:type="default"/>
      <w:pgSz w:w="11906" w:h="16838"/>
      <w:pgMar w:top="1134" w:right="1519" w:bottom="1134" w:left="1519" w:header="13" w:footer="567" w:gutter="0"/>
      <w:pgNumType w:fmt="decimal"/>
      <w:cols w:space="0" w:num="1"/>
      <w:docGrid w:type="lines" w:linePitch="2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756F6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912757">
                          <w:pPr>
                            <w:pStyle w:val="8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912757">
                    <w:pPr>
                      <w:pStyle w:val="8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000001"/>
    <w:multiLevelType w:val="singleLevel"/>
    <w:tmpl w:val="20000001"/>
    <w:lvl w:ilvl="0" w:tentative="0">
      <w:start w:val="1"/>
      <w:numFmt w:val="decimal"/>
      <w:pStyle w:val="20"/>
      <w:suff w:val="space"/>
      <w:lvlText w:val="%1 "/>
      <w:lvlJc w:val="right"/>
      <w:rPr>
        <w:rFonts w:ascii="微软雅黑" w:hAnsi="微软雅黑" w:eastAsia="微软雅黑" w:cs="微软雅黑"/>
        <w:color w:val="C0C6CF"/>
        <w:sz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trackRevisions w:val="1"/>
  <w:documentProtection w:enforcement="0"/>
  <w:defaultTabStop w:val="42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12C2A"/>
    <w:rsid w:val="17B833ED"/>
    <w:rsid w:val="18646732"/>
    <w:rsid w:val="2436143B"/>
    <w:rsid w:val="35F55D16"/>
    <w:rsid w:val="37D93678"/>
    <w:rsid w:val="5A4B6DB9"/>
    <w:rsid w:val="5DD8779B"/>
    <w:rsid w:val="67037BA8"/>
    <w:rsid w:val="6E891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微软雅黑" w:hAnsi="微软雅黑" w:eastAsia="微软雅黑" w:cs="微软雅黑"/>
      <w:color w:val="080F17"/>
      <w:sz w:val="22"/>
    </w:rPr>
  </w:style>
  <w:style w:type="paragraph" w:styleId="2">
    <w:name w:val="heading 1"/>
    <w:basedOn w:val="1"/>
    <w:qFormat/>
    <w:uiPriority w:val="0"/>
    <w:pPr>
      <w:spacing w:before="390" w:after="120" w:line="634" w:lineRule="exact"/>
      <w:outlineLvl w:val="0"/>
    </w:pPr>
    <w:rPr>
      <w:b/>
      <w:sz w:val="38"/>
    </w:rPr>
  </w:style>
  <w:style w:type="paragraph" w:styleId="3">
    <w:name w:val="heading 2"/>
    <w:basedOn w:val="1"/>
    <w:qFormat/>
    <w:uiPriority w:val="0"/>
    <w:pPr>
      <w:spacing w:before="330" w:after="120" w:line="536" w:lineRule="exact"/>
      <w:outlineLvl w:val="1"/>
    </w:pPr>
    <w:rPr>
      <w:b/>
      <w:sz w:val="32"/>
    </w:rPr>
  </w:style>
  <w:style w:type="paragraph" w:styleId="4">
    <w:name w:val="heading 3"/>
    <w:basedOn w:val="1"/>
    <w:qFormat/>
    <w:uiPriority w:val="0"/>
    <w:pPr>
      <w:spacing w:before="300" w:after="120" w:line="488" w:lineRule="exact"/>
      <w:outlineLvl w:val="2"/>
    </w:pPr>
    <w:rPr>
      <w:b/>
      <w:sz w:val="30"/>
    </w:rPr>
  </w:style>
  <w:style w:type="paragraph" w:styleId="5">
    <w:name w:val="heading 4"/>
    <w:basedOn w:val="1"/>
    <w:qFormat/>
    <w:uiPriority w:val="0"/>
    <w:pPr>
      <w:spacing w:before="270" w:after="120" w:line="439" w:lineRule="exact"/>
      <w:outlineLvl w:val="3"/>
    </w:pPr>
    <w:rPr>
      <w:b/>
      <w:sz w:val="26"/>
    </w:rPr>
  </w:style>
  <w:style w:type="paragraph" w:styleId="6">
    <w:name w:val="heading 5"/>
    <w:basedOn w:val="1"/>
    <w:qFormat/>
    <w:uiPriority w:val="0"/>
    <w:pPr>
      <w:spacing w:before="240" w:after="120" w:line="390" w:lineRule="exact"/>
      <w:outlineLvl w:val="4"/>
    </w:pPr>
    <w:rPr>
      <w:b/>
      <w:sz w:val="22"/>
    </w:rPr>
  </w:style>
  <w:style w:type="paragraph" w:styleId="7">
    <w:name w:val="heading 6"/>
    <w:basedOn w:val="1"/>
    <w:qFormat/>
    <w:uiPriority w:val="0"/>
    <w:pPr>
      <w:spacing w:before="240" w:after="120" w:line="390" w:lineRule="exact"/>
      <w:outlineLvl w:val="5"/>
    </w:pPr>
    <w:rPr>
      <w:b/>
      <w:sz w:val="2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itle"/>
    <w:qFormat/>
    <w:uiPriority w:val="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table" w:styleId="12">
    <w:name w:val="Table Grid"/>
    <w:qFormat/>
    <w:uiPriority w:val="0"/>
    <w:tblPr>
      <w:tblBorders>
        <w:top w:val="single" w:color="080F17" w:sz="6" w:space="0"/>
        <w:left w:val="single" w:color="080F17" w:sz="6" w:space="0"/>
        <w:bottom w:val="single" w:color="080F17" w:sz="6" w:space="0"/>
        <w:right w:val="single" w:color="080F17" w:sz="6" w:space="0"/>
        <w:insideH w:val="single" w:color="080F17" w:sz="6" w:space="0"/>
        <w:insideV w:val="single" w:color="080F17" w:sz="6" w:space="0"/>
      </w:tblBorders>
      <w:tblCellMar>
        <w:left w:w="108" w:type="dxa"/>
        <w:right w:w="108" w:type="dxa"/>
      </w:tblCellMar>
    </w:tblPr>
  </w:style>
  <w:style w:type="character" w:styleId="14">
    <w:name w:val="Hyperlink"/>
    <w:qFormat/>
    <w:uiPriority w:val="0"/>
    <w:rPr>
      <w:color w:val="0A6CFF"/>
      <w:u w:val="single" w:color="0A6CFF"/>
    </w:rPr>
  </w:style>
  <w:style w:type="paragraph" w:customStyle="1" w:styleId="15">
    <w:name w:val="MainTitle"/>
    <w:basedOn w:val="1"/>
    <w:qFormat/>
    <w:uiPriority w:val="0"/>
    <w:pPr>
      <w:pBdr>
        <w:bottom w:val="single" w:color="E2E6ED" w:sz="6" w:space="5"/>
      </w:pBdr>
      <w:spacing w:before="180" w:after="480" w:line="780" w:lineRule="exact"/>
    </w:pPr>
    <w:rPr>
      <w:b/>
      <w:sz w:val="44"/>
    </w:rPr>
  </w:style>
  <w:style w:type="character" w:customStyle="1" w:styleId="16">
    <w:name w:val="DateTime"/>
    <w:qFormat/>
    <w:uiPriority w:val="0"/>
    <w:rPr>
      <w:color w:val="0A6CFF"/>
    </w:rPr>
  </w:style>
  <w:style w:type="paragraph" w:customStyle="1" w:styleId="17">
    <w:name w:val="Blockquote"/>
    <w:basedOn w:val="1"/>
    <w:qFormat/>
    <w:uiPriority w:val="0"/>
    <w:pPr>
      <w:pBdr>
        <w:left w:val="single" w:color="E2E6ED" w:sz="36" w:space="12"/>
      </w:pBdr>
      <w:ind w:left="330" w:firstLine="0"/>
    </w:pPr>
    <w:rPr>
      <w:color w:val="767C85"/>
      <w:sz w:val="22"/>
    </w:rPr>
  </w:style>
  <w:style w:type="character" w:customStyle="1" w:styleId="18">
    <w:name w:val="Code"/>
    <w:qFormat/>
    <w:uiPriority w:val="0"/>
    <w:rPr>
      <w:bdr w:val="single" w:color="E2E6ED" w:sz="6" w:space="0"/>
    </w:rPr>
  </w:style>
  <w:style w:type="character" w:customStyle="1" w:styleId="19">
    <w:name w:val="Emoji"/>
    <w:qFormat/>
    <w:uiPriority w:val="0"/>
    <w:rPr>
      <w:rFonts w:ascii="Segoe UI Emoji" w:hAnsi="Segoe UI Emoji" w:eastAsia="Segoe UI Emoji" w:cs="Segoe UI Emoji"/>
    </w:rPr>
  </w:style>
  <w:style w:type="paragraph" w:customStyle="1" w:styleId="20">
    <w:name w:val="CodeBlock"/>
    <w:basedOn w:val="1"/>
    <w:qFormat/>
    <w:uiPriority w:val="0"/>
    <w:pPr>
      <w:numPr>
        <w:ilvl w:val="0"/>
        <w:numId w:val="1"/>
      </w:numPr>
      <w:pBdr>
        <w:top w:val="single" w:color="E2E6ED" w:sz="6" w:space="8"/>
        <w:left w:val="single" w:color="E2E6ED" w:sz="6" w:space="26"/>
        <w:bottom w:val="single" w:color="E2E6ED" w:sz="6" w:space="8"/>
        <w:right w:val="single" w:color="E2E6ED" w:sz="6" w:space="0"/>
      </w:pBdr>
      <w:shd w:val="clear" w:color="FFFFFF" w:fill="F5F7F9"/>
      <w:spacing w:before="0" w:after="0" w:line="300" w:lineRule="exact"/>
      <w:ind w:left="540" w:firstLine="0"/>
    </w:pPr>
    <w:rPr>
      <w:sz w:val="18"/>
    </w:rPr>
  </w:style>
  <w:style w:type="table" w:customStyle="1" w:styleId="21">
    <w:name w:val="HighlightBlock"/>
    <w:qFormat/>
    <w:uiPriority w:val="0"/>
    <w:tblPr>
      <w:tblBorders>
        <w:top w:val="single" w:color="FEC794" w:sz="6" w:space="0"/>
        <w:left w:val="single" w:color="FEC794" w:sz="6" w:space="0"/>
        <w:bottom w:val="single" w:color="FEC794" w:sz="6" w:space="0"/>
        <w:right w:val="single" w:color="FEC794" w:sz="6" w:space="0"/>
        <w:insideH w:val="single" w:color="FEC794" w:sz="6" w:space="0"/>
        <w:insideV w:val="single" w:color="FEC794" w:sz="6" w:space="0"/>
      </w:tblBorders>
      <w:tblCellMar>
        <w:left w:w="108" w:type="dxa"/>
        <w:right w:w="108" w:type="dxa"/>
      </w:tblCellMar>
    </w:tblPr>
  </w:style>
  <w:style w:type="paragraph" w:customStyle="1" w:styleId="22">
    <w:name w:val="Seperate"/>
    <w:basedOn w:val="1"/>
    <w:qFormat/>
    <w:uiPriority w:val="0"/>
    <w:pPr>
      <w:spacing w:before="0" w:after="0" w:line="120" w:lineRule="exac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a6cf3889-d433-4714-bdf3-96b1046e7b86</errorID>
      <errorWord>，</errorWord>
      <group>L1_Grammar</group>
      <groupName>语法问题</groupName>
      <ability>L2_Missing</ability>
      <abilityName>成分残缺</abilityName>
      <candidateList>
        <item>机制，</item>
      </candidateList>
      <explain>句子中可能存在主谓宾、修饰语或者必要的词语残缺。</explain>
      <paraID>3FCD22CC</paraID>
      <start>17</start>
      <end>18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46465e-c219-4bf1-bbf3-4832240427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753</Words>
  <Characters>765</Characters>
  <TotalTime>5</TotalTime>
  <ScaleCrop>false</ScaleCrop>
  <LinksUpToDate>false</LinksUpToDate>
  <CharactersWithSpaces>765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2026-05-13T22:34:00Z</dcterms:created>
  <dc:creator>webotl</dc:creator>
  <cp:lastModifiedBy>郑来德</cp:lastModifiedBy>
  <dcterms:modified xsi:type="dcterms:W3CDTF">2026-07-05T02:19:22Z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webotl</vt:lpwstr>
  </property>
  <property fmtid="{D5CDD505-2E9C-101B-9397-08002B2CF9AE}" pid="3" name="KSOTemplateDocerSaveRecord">
    <vt:lpwstr>eyJoZGlkIjoiMmMzYzRhZjc3YzNmNmMyMjRmOTgwYjNlOTBiOTBiNGEiLCJ1c2VySWQiOiIzODc5MjY4MzcifQ==</vt:lpwstr>
  </property>
  <property fmtid="{D5CDD505-2E9C-101B-9397-08002B2CF9AE}" pid="4" name="KSOProductBuildVer">
    <vt:lpwstr>2052-12.1.0.26895</vt:lpwstr>
  </property>
  <property fmtid="{D5CDD505-2E9C-101B-9397-08002B2CF9AE}" pid="5" name="ICV">
    <vt:lpwstr>C6528F4FF5A248D59EE24C8689B1022D_13</vt:lpwstr>
  </property>
</Properties>
</file>