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24BB8">
      <w:pPr>
        <w:rPr>
          <w:rFonts w:hint="eastAsia" w:eastAsia="黑体"/>
          <w:sz w:val="36"/>
          <w:szCs w:val="36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 w14:paraId="557C485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textAlignment w:val="auto"/>
        <w:rPr>
          <w:sz w:val="36"/>
          <w:szCs w:val="36"/>
        </w:rPr>
      </w:pPr>
      <w:r>
        <w:rPr>
          <w:sz w:val="36"/>
          <w:szCs w:val="36"/>
        </w:rPr>
        <w:t>第四届全国大学生职业规划大赛</w:t>
      </w:r>
      <w:r>
        <w:rPr>
          <w:rFonts w:hint="eastAsia"/>
          <w:sz w:val="36"/>
          <w:szCs w:val="36"/>
          <w:lang w:val="en-US" w:eastAsia="zh-CN"/>
        </w:rPr>
        <w:t>校级选拔赛备赛</w:t>
      </w:r>
      <w:r>
        <w:rPr>
          <w:sz w:val="36"/>
          <w:szCs w:val="36"/>
        </w:rPr>
        <w:t>进度安排表</w:t>
      </w:r>
    </w:p>
    <w:tbl>
      <w:tblPr>
        <w:tblStyle w:val="10"/>
        <w:tblW w:w="4971" w:type="pct"/>
        <w:jc w:val="center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1835"/>
        <w:gridCol w:w="2227"/>
        <w:gridCol w:w="2296"/>
        <w:gridCol w:w="3386"/>
        <w:gridCol w:w="5099"/>
      </w:tblGrid>
      <w:tr w14:paraId="5C3D955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24D8A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阶段</w:t>
            </w:r>
          </w:p>
        </w:tc>
        <w:tc>
          <w:tcPr>
            <w:tcW w:w="750" w:type="pct"/>
            <w:vAlign w:val="center"/>
          </w:tcPr>
          <w:p w14:paraId="54166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773" w:type="pct"/>
            <w:vAlign w:val="center"/>
          </w:tcPr>
          <w:p w14:paraId="4C65A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进度安排</w:t>
            </w:r>
          </w:p>
        </w:tc>
        <w:tc>
          <w:tcPr>
            <w:tcW w:w="1140" w:type="pct"/>
            <w:vAlign w:val="center"/>
          </w:tcPr>
          <w:p w14:paraId="2EE3C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学校层面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058E7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color w:val="080F17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学院层面</w:t>
            </w:r>
          </w:p>
        </w:tc>
      </w:tr>
      <w:tr w14:paraId="31EEE06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69375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启动布置阶段</w:t>
            </w:r>
          </w:p>
        </w:tc>
        <w:tc>
          <w:tcPr>
            <w:tcW w:w="750" w:type="pct"/>
            <w:vAlign w:val="center"/>
          </w:tcPr>
          <w:p w14:paraId="61AE6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</w:t>
            </w:r>
          </w:p>
        </w:tc>
        <w:tc>
          <w:tcPr>
            <w:tcW w:w="773" w:type="pct"/>
            <w:vAlign w:val="center"/>
          </w:tcPr>
          <w:p w14:paraId="313C4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部署启动第四届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全国大学生职业规划大赛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校级选拔赛</w:t>
            </w:r>
          </w:p>
        </w:tc>
        <w:tc>
          <w:tcPr>
            <w:tcW w:w="1140" w:type="pct"/>
            <w:vAlign w:val="center"/>
          </w:tcPr>
          <w:p w14:paraId="14FE012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印发校级选拔赛通知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；</w:t>
            </w:r>
          </w:p>
          <w:p w14:paraId="1E35CB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2.邀请国内知名专家进行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届全国大学生职业规划大赛选拔赛备赛辅导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37A89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根据校赛通知，细化制定院级选拔赛通知、方案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  <w:tr w14:paraId="286D73F1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35B95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宣传发动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750" w:type="pct"/>
            <w:vAlign w:val="center"/>
          </w:tcPr>
          <w:p w14:paraId="0A1F9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7—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9月</w:t>
            </w:r>
          </w:p>
        </w:tc>
        <w:tc>
          <w:tcPr>
            <w:tcW w:w="773" w:type="pct"/>
            <w:vAlign w:val="center"/>
          </w:tcPr>
          <w:p w14:paraId="642B2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组织动员学生参赛报名</w:t>
            </w:r>
          </w:p>
        </w:tc>
        <w:tc>
          <w:tcPr>
            <w:tcW w:w="1140" w:type="pct"/>
            <w:vAlign w:val="center"/>
          </w:tcPr>
          <w:p w14:paraId="5D0E03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建立校赛工作联络群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55776B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2.制定完善校赛工作方案；</w:t>
            </w:r>
          </w:p>
          <w:p w14:paraId="30F0E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3.邀请校外专家开展职业规划专题培训（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学生专场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5A315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1.通过主题班会、新媒体等发布大赛通知并进行宣传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71921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做好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“十五五”规划等文件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解读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重点参考职业目标指引清单，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引导学生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结合服务国家战略、地方经济社会发展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，确定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职业目标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做好备赛准备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3EDA9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.确定1名院级联络员，加入校级工作联络群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781DE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80F17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.组织往届获奖学生分享经验，动员学生关注大赛平台和“到梦空间”。</w:t>
            </w:r>
          </w:p>
        </w:tc>
      </w:tr>
      <w:tr w14:paraId="24B1BF2B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48266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班赛选拔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750" w:type="pct"/>
            <w:vAlign w:val="center"/>
          </w:tcPr>
          <w:p w14:paraId="4B964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9月</w:t>
            </w:r>
          </w:p>
        </w:tc>
        <w:tc>
          <w:tcPr>
            <w:tcW w:w="773" w:type="pct"/>
            <w:vAlign w:val="center"/>
          </w:tcPr>
          <w:p w14:paraId="7FF1C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完成班级选拔赛</w:t>
            </w:r>
          </w:p>
        </w:tc>
        <w:tc>
          <w:tcPr>
            <w:tcW w:w="1140" w:type="pct"/>
            <w:vAlign w:val="center"/>
          </w:tcPr>
          <w:p w14:paraId="7E491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发布学生参赛操作手册；</w:t>
            </w:r>
          </w:p>
          <w:p w14:paraId="56E19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定期通报各学院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参赛率和生涯闯关完成情况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13364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.解答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在报名和平台使用中的技术问题。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72071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注重班级内部动员和选拔，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校赛参赛人数不低于各学院（部）在校学生人数的50%；</w:t>
            </w:r>
          </w:p>
          <w:p w14:paraId="580E4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80F17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.组织学生在大赛平台完成报名及生涯闯关。</w:t>
            </w:r>
          </w:p>
        </w:tc>
      </w:tr>
      <w:tr w14:paraId="4E9C619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4D6FA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院赛选拔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750" w:type="pct"/>
            <w:vAlign w:val="center"/>
          </w:tcPr>
          <w:p w14:paraId="6AFA1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年9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10月</w:t>
            </w:r>
          </w:p>
        </w:tc>
        <w:tc>
          <w:tcPr>
            <w:tcW w:w="773" w:type="pct"/>
            <w:vAlign w:val="center"/>
          </w:tcPr>
          <w:p w14:paraId="3855A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完成院级选拔赛</w:t>
            </w:r>
          </w:p>
        </w:tc>
        <w:tc>
          <w:tcPr>
            <w:tcW w:w="1140" w:type="pct"/>
            <w:vAlign w:val="center"/>
          </w:tcPr>
          <w:p w14:paraId="6487C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1.邀请校外专家开展职业规划专题培训（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教师专场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284F9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举办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届全国大学生职业规划大赛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获奖选手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经验分享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10FBE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根据院级选拔赛组织报名情况，分配校赛参赛名额。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7BEE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1.建立学院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种子库，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实现班班覆盖，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为每位选手配备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校院两级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指导教师，“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对一”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全程指导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09775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组织院级种子选手训练营，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开展比赛模拟演练（主题陈述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和模拟答辩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反复打磨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主题陈述讲稿和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参赛材料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40F49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color w:val="080F17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月底前完成院级决赛，确定推荐参加校赛的选手名单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</w:tr>
      <w:tr w14:paraId="1AAB97F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72455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校赛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选拔阶段</w:t>
            </w:r>
          </w:p>
          <w:p w14:paraId="54374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（网络复赛）</w:t>
            </w:r>
          </w:p>
        </w:tc>
        <w:tc>
          <w:tcPr>
            <w:tcW w:w="750" w:type="pct"/>
            <w:vAlign w:val="center"/>
          </w:tcPr>
          <w:p w14:paraId="76F5B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2026年1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中旬前</w:t>
            </w:r>
          </w:p>
        </w:tc>
        <w:tc>
          <w:tcPr>
            <w:tcW w:w="773" w:type="pct"/>
            <w:vAlign w:val="center"/>
          </w:tcPr>
          <w:p w14:paraId="74020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完成校级选拔赛网络复赛</w:t>
            </w:r>
          </w:p>
        </w:tc>
        <w:tc>
          <w:tcPr>
            <w:tcW w:w="1140" w:type="pct"/>
            <w:vAlign w:val="center"/>
          </w:tcPr>
          <w:p w14:paraId="7F7FE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专家进行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校赛网评（材料评审），确定入围现场决赛名单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5CD1F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.邀请校外专家开展职业规划专题培训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针对网络复赛情况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13A22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80F17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根据网络复赛结果和专家意见，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对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入围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校赛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决赛的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选手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进行针对性指导，继续打磨参赛材料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。</w:t>
            </w:r>
          </w:p>
        </w:tc>
      </w:tr>
      <w:tr w14:paraId="13CCBC8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1B0EB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校赛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选拔阶段</w:t>
            </w:r>
          </w:p>
          <w:p w14:paraId="1B9BA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（现场决赛）</w:t>
            </w:r>
          </w:p>
        </w:tc>
        <w:tc>
          <w:tcPr>
            <w:tcW w:w="750" w:type="pct"/>
            <w:vAlign w:val="center"/>
          </w:tcPr>
          <w:p w14:paraId="0BB1176E">
            <w:pPr>
              <w:keepNext w:val="0"/>
              <w:keepLines w:val="0"/>
              <w:pageBreakBefore w:val="0"/>
              <w:widowControl/>
              <w:tabs>
                <w:tab w:val="left" w:pos="5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2026年1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底前</w:t>
            </w:r>
          </w:p>
        </w:tc>
        <w:tc>
          <w:tcPr>
            <w:tcW w:w="773" w:type="pct"/>
            <w:vAlign w:val="center"/>
          </w:tcPr>
          <w:p w14:paraId="7FEE9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完成校级选拔赛现场决赛</w:t>
            </w:r>
          </w:p>
        </w:tc>
        <w:tc>
          <w:tcPr>
            <w:tcW w:w="1140" w:type="pct"/>
            <w:vAlign w:val="center"/>
          </w:tcPr>
          <w:p w14:paraId="0D37AD5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1.举办校级选拔赛现场总决赛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4B8E27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.邀请校外专家开展职业规划专题培训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针对现场决赛情况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1B04F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根据网络现场决赛结果和专家意见，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对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入围区赛种子选手训练营的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选手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进行针对性指导，继续打磨参赛材料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。</w:t>
            </w:r>
          </w:p>
        </w:tc>
      </w:tr>
      <w:tr w14:paraId="55B93488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669D9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</w:rPr>
              <w:t>区赛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备赛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阶段</w:t>
            </w:r>
          </w:p>
        </w:tc>
        <w:tc>
          <w:tcPr>
            <w:tcW w:w="750" w:type="pct"/>
            <w:vAlign w:val="center"/>
          </w:tcPr>
          <w:p w14:paraId="405CA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2026年11月—2027年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</w:p>
        </w:tc>
        <w:tc>
          <w:tcPr>
            <w:tcW w:w="773" w:type="pct"/>
            <w:vAlign w:val="center"/>
          </w:tcPr>
          <w:p w14:paraId="4F851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完成区赛选手选拔</w:t>
            </w:r>
          </w:p>
        </w:tc>
        <w:tc>
          <w:tcPr>
            <w:tcW w:w="1140" w:type="pct"/>
            <w:vAlign w:val="center"/>
          </w:tcPr>
          <w:p w14:paraId="731B9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举办区赛种子选手训练营，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邀请全国职业规划专家为种子选手及指导教师集中授课。</w:t>
            </w:r>
          </w:p>
          <w:p w14:paraId="2D968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区赛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通知要求和名额分配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结合种子训练营选手表现，择优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推荐选手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参加区赛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。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45A09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协助举办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种子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区赛种子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选手训练营，选派指导教师全程跟进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</w:p>
          <w:p w14:paraId="3D3E4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80F17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.配合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做好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区赛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选手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推荐工作。</w:t>
            </w:r>
          </w:p>
        </w:tc>
      </w:tr>
      <w:tr w14:paraId="461E8FB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6A38A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区赛决赛阶段</w:t>
            </w:r>
          </w:p>
        </w:tc>
        <w:tc>
          <w:tcPr>
            <w:tcW w:w="750" w:type="pct"/>
            <w:vAlign w:val="center"/>
          </w:tcPr>
          <w:p w14:paraId="442FA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</w:p>
        </w:tc>
        <w:tc>
          <w:tcPr>
            <w:tcW w:w="773" w:type="pct"/>
            <w:vAlign w:val="center"/>
          </w:tcPr>
          <w:p w14:paraId="63F7A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组织学生参加区赛</w:t>
            </w:r>
          </w:p>
        </w:tc>
        <w:tc>
          <w:tcPr>
            <w:tcW w:w="1140" w:type="pct"/>
            <w:vAlign w:val="center"/>
          </w:tcPr>
          <w:p w14:paraId="1099D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根据区赛通知，做好有关工作，落实专人带队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311AB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根据区赛通知，协助学校做好有关工作，落实专人带队</w:t>
            </w:r>
          </w:p>
        </w:tc>
      </w:tr>
      <w:tr w14:paraId="099D082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  <w:jc w:val="center"/>
        </w:trPr>
        <w:tc>
          <w:tcPr>
            <w:tcW w:w="618" w:type="pct"/>
            <w:vAlign w:val="center"/>
          </w:tcPr>
          <w:p w14:paraId="6593F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eastAsia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 w:val="24"/>
                <w:szCs w:val="24"/>
                <w:lang w:val="en-US" w:eastAsia="zh-CN"/>
              </w:rPr>
              <w:t>国赛决赛阶段</w:t>
            </w:r>
          </w:p>
        </w:tc>
        <w:tc>
          <w:tcPr>
            <w:tcW w:w="750" w:type="pct"/>
            <w:vAlign w:val="center"/>
          </w:tcPr>
          <w:p w14:paraId="4EE28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</w:p>
        </w:tc>
        <w:tc>
          <w:tcPr>
            <w:tcW w:w="773" w:type="pct"/>
            <w:vAlign w:val="center"/>
          </w:tcPr>
          <w:p w14:paraId="124AE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组织学生参加国赛</w:t>
            </w:r>
          </w:p>
        </w:tc>
        <w:tc>
          <w:tcPr>
            <w:tcW w:w="1140" w:type="pct"/>
            <w:vAlign w:val="center"/>
          </w:tcPr>
          <w:p w14:paraId="560C2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根据国赛通知和区赛成绩，做好有关工作，落实专人带队</w:t>
            </w:r>
          </w:p>
        </w:tc>
        <w:tc>
          <w:tcPr>
            <w:tcW w:w="1717" w:type="pct"/>
            <w:shd w:val="clear" w:color="auto" w:fill="auto"/>
            <w:vAlign w:val="center"/>
          </w:tcPr>
          <w:p w14:paraId="7FF58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根据国赛通知，协助学校做好有关工作，落实专人带队</w:t>
            </w:r>
          </w:p>
        </w:tc>
      </w:tr>
    </w:tbl>
    <w:p w14:paraId="7C5BD127"/>
    <w:sectPr>
      <w:pgSz w:w="16838" w:h="11906" w:orient="landscape"/>
      <w:pgMar w:top="1134" w:right="1134" w:bottom="1134" w:left="1134" w:header="13" w:footer="13" w:gutter="0"/>
      <w:cols w:space="0" w:num="1"/>
      <w:docGrid w:type="lines" w:linePitch="2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00001"/>
    <w:multiLevelType w:val="singleLevel"/>
    <w:tmpl w:val="20000001"/>
    <w:lvl w:ilvl="0" w:tentative="0">
      <w:start w:val="1"/>
      <w:numFmt w:val="decimal"/>
      <w:pStyle w:val="18"/>
      <w:suff w:val="space"/>
      <w:lvlText w:val="%1 "/>
      <w:lvlJc w:val="right"/>
      <w:rPr>
        <w:rFonts w:ascii="微软雅黑" w:hAnsi="微软雅黑" w:eastAsia="微软雅黑" w:cs="微软雅黑"/>
        <w:color w:val="C0C6CF"/>
        <w:sz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D66CB"/>
    <w:rsid w:val="0B0523A4"/>
    <w:rsid w:val="19A4395A"/>
    <w:rsid w:val="1B8566DD"/>
    <w:rsid w:val="31D62DEC"/>
    <w:rsid w:val="40021662"/>
    <w:rsid w:val="4F5C5E49"/>
    <w:rsid w:val="52403945"/>
    <w:rsid w:val="55710CB4"/>
    <w:rsid w:val="573E7304"/>
    <w:rsid w:val="65E13076"/>
    <w:rsid w:val="78C577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微软雅黑" w:hAnsi="微软雅黑" w:eastAsia="微软雅黑" w:cs="微软雅黑"/>
      <w:color w:val="080F17"/>
      <w:sz w:val="22"/>
    </w:rPr>
  </w:style>
  <w:style w:type="paragraph" w:styleId="2">
    <w:name w:val="heading 1"/>
    <w:basedOn w:val="1"/>
    <w:qFormat/>
    <w:uiPriority w:val="0"/>
    <w:pPr>
      <w:spacing w:before="390" w:after="120" w:line="634" w:lineRule="exact"/>
      <w:outlineLvl w:val="0"/>
    </w:pPr>
    <w:rPr>
      <w:b/>
      <w:sz w:val="38"/>
    </w:rPr>
  </w:style>
  <w:style w:type="paragraph" w:styleId="3">
    <w:name w:val="heading 2"/>
    <w:basedOn w:val="1"/>
    <w:qFormat/>
    <w:uiPriority w:val="0"/>
    <w:pPr>
      <w:spacing w:before="330" w:after="120" w:line="536" w:lineRule="exact"/>
      <w:outlineLvl w:val="1"/>
    </w:pPr>
    <w:rPr>
      <w:b/>
      <w:sz w:val="32"/>
    </w:rPr>
  </w:style>
  <w:style w:type="paragraph" w:styleId="4">
    <w:name w:val="heading 3"/>
    <w:basedOn w:val="1"/>
    <w:qFormat/>
    <w:uiPriority w:val="0"/>
    <w:pPr>
      <w:spacing w:before="300" w:after="120" w:line="488" w:lineRule="exact"/>
      <w:outlineLvl w:val="2"/>
    </w:pPr>
    <w:rPr>
      <w:b/>
      <w:sz w:val="30"/>
    </w:rPr>
  </w:style>
  <w:style w:type="paragraph" w:styleId="5">
    <w:name w:val="heading 4"/>
    <w:basedOn w:val="1"/>
    <w:qFormat/>
    <w:uiPriority w:val="0"/>
    <w:pPr>
      <w:spacing w:before="270" w:after="120" w:line="439" w:lineRule="exact"/>
      <w:outlineLvl w:val="3"/>
    </w:pPr>
    <w:rPr>
      <w:b/>
      <w:sz w:val="26"/>
    </w:rPr>
  </w:style>
  <w:style w:type="paragraph" w:styleId="6">
    <w:name w:val="heading 5"/>
    <w:basedOn w:val="1"/>
    <w:qFormat/>
    <w:uiPriority w:val="0"/>
    <w:pPr>
      <w:spacing w:before="240" w:after="120" w:line="390" w:lineRule="exact"/>
      <w:outlineLvl w:val="4"/>
    </w:pPr>
    <w:rPr>
      <w:b/>
      <w:sz w:val="22"/>
    </w:rPr>
  </w:style>
  <w:style w:type="paragraph" w:styleId="7">
    <w:name w:val="heading 6"/>
    <w:basedOn w:val="1"/>
    <w:qFormat/>
    <w:uiPriority w:val="0"/>
    <w:pPr>
      <w:spacing w:before="240" w:after="120" w:line="390" w:lineRule="exact"/>
      <w:outlineLvl w:val="5"/>
    </w:pPr>
    <w:rPr>
      <w:b/>
      <w:sz w:val="2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table" w:styleId="10">
    <w:name w:val="Table Grid"/>
    <w:qFormat/>
    <w:uiPriority w:val="0"/>
    <w:tblPr>
      <w:tblBorders>
        <w:top w:val="single" w:color="080F17" w:sz="6" w:space="0"/>
        <w:left w:val="single" w:color="080F17" w:sz="6" w:space="0"/>
        <w:bottom w:val="single" w:color="080F17" w:sz="6" w:space="0"/>
        <w:right w:val="single" w:color="080F17" w:sz="6" w:space="0"/>
        <w:insideH w:val="single" w:color="080F17" w:sz="6" w:space="0"/>
        <w:insideV w:val="single" w:color="080F17" w:sz="6" w:space="0"/>
      </w:tblBorders>
      <w:tblCellMar>
        <w:left w:w="108" w:type="dxa"/>
        <w:right w:w="108" w:type="dxa"/>
      </w:tblCellMar>
    </w:tblPr>
  </w:style>
  <w:style w:type="character" w:styleId="12">
    <w:name w:val="Hyperlink"/>
    <w:qFormat/>
    <w:uiPriority w:val="0"/>
    <w:rPr>
      <w:color w:val="0A6CFF"/>
      <w:u w:val="single" w:color="0A6CFF"/>
    </w:rPr>
  </w:style>
  <w:style w:type="paragraph" w:customStyle="1" w:styleId="13">
    <w:name w:val="MainTitle"/>
    <w:basedOn w:val="1"/>
    <w:qFormat/>
    <w:uiPriority w:val="0"/>
    <w:pPr>
      <w:pBdr>
        <w:bottom w:val="single" w:color="E2E6ED" w:sz="6" w:space="5"/>
      </w:pBdr>
      <w:spacing w:before="180" w:after="480" w:line="780" w:lineRule="exact"/>
    </w:pPr>
    <w:rPr>
      <w:b/>
      <w:sz w:val="44"/>
    </w:rPr>
  </w:style>
  <w:style w:type="character" w:customStyle="1" w:styleId="14">
    <w:name w:val="DateTime"/>
    <w:qFormat/>
    <w:uiPriority w:val="0"/>
    <w:rPr>
      <w:color w:val="0A6CFF"/>
    </w:rPr>
  </w:style>
  <w:style w:type="paragraph" w:customStyle="1" w:styleId="15">
    <w:name w:val="Blockquote"/>
    <w:basedOn w:val="1"/>
    <w:qFormat/>
    <w:uiPriority w:val="0"/>
    <w:pPr>
      <w:pBdr>
        <w:left w:val="single" w:color="E2E6ED" w:sz="36" w:space="12"/>
      </w:pBdr>
      <w:ind w:left="330" w:firstLine="0"/>
    </w:pPr>
    <w:rPr>
      <w:color w:val="767C85"/>
      <w:sz w:val="22"/>
    </w:rPr>
  </w:style>
  <w:style w:type="character" w:customStyle="1" w:styleId="16">
    <w:name w:val="Code"/>
    <w:qFormat/>
    <w:uiPriority w:val="0"/>
    <w:rPr>
      <w:bdr w:val="single" w:color="E2E6ED" w:sz="6" w:space="0"/>
    </w:rPr>
  </w:style>
  <w:style w:type="character" w:customStyle="1" w:styleId="17">
    <w:name w:val="Emoji"/>
    <w:qFormat/>
    <w:uiPriority w:val="0"/>
    <w:rPr>
      <w:rFonts w:ascii="Segoe UI Emoji" w:hAnsi="Segoe UI Emoji" w:eastAsia="Segoe UI Emoji" w:cs="Segoe UI Emoji"/>
    </w:rPr>
  </w:style>
  <w:style w:type="paragraph" w:customStyle="1" w:styleId="18">
    <w:name w:val="CodeBlock"/>
    <w:basedOn w:val="1"/>
    <w:qFormat/>
    <w:uiPriority w:val="0"/>
    <w:pPr>
      <w:numPr>
        <w:ilvl w:val="0"/>
        <w:numId w:val="1"/>
      </w:numPr>
      <w:pBdr>
        <w:top w:val="single" w:color="E2E6ED" w:sz="6" w:space="8"/>
        <w:left w:val="single" w:color="E2E6ED" w:sz="6" w:space="26"/>
        <w:bottom w:val="single" w:color="E2E6ED" w:sz="6" w:space="8"/>
        <w:right w:val="single" w:color="E2E6ED" w:sz="6" w:space="0"/>
      </w:pBdr>
      <w:shd w:val="clear" w:color="FFFFFF" w:fill="F5F7F9"/>
      <w:spacing w:before="0" w:after="0" w:line="300" w:lineRule="exact"/>
      <w:ind w:left="540" w:firstLine="0"/>
    </w:pPr>
    <w:rPr>
      <w:sz w:val="18"/>
    </w:rPr>
  </w:style>
  <w:style w:type="table" w:customStyle="1" w:styleId="19">
    <w:name w:val="HighlightBlock"/>
    <w:qFormat/>
    <w:uiPriority w:val="0"/>
    <w:tblPr>
      <w:tblBorders>
        <w:top w:val="single" w:color="FEC794" w:sz="6" w:space="0"/>
        <w:left w:val="single" w:color="FEC794" w:sz="6" w:space="0"/>
        <w:bottom w:val="single" w:color="FEC794" w:sz="6" w:space="0"/>
        <w:right w:val="single" w:color="FEC794" w:sz="6" w:space="0"/>
        <w:insideH w:val="single" w:color="FEC794" w:sz="6" w:space="0"/>
        <w:insideV w:val="single" w:color="FEC794" w:sz="6" w:space="0"/>
      </w:tblBorders>
      <w:tblCellMar>
        <w:left w:w="108" w:type="dxa"/>
        <w:right w:w="108" w:type="dxa"/>
      </w:tblCellMar>
    </w:tblPr>
  </w:style>
  <w:style w:type="paragraph" w:customStyle="1" w:styleId="20">
    <w:name w:val="Seperate"/>
    <w:basedOn w:val="1"/>
    <w:qFormat/>
    <w:uiPriority w:val="0"/>
    <w:pPr>
      <w:spacing w:before="0" w:after="0" w:line="120" w:lineRule="exac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dd3cd25b-14f7-4090-b1ba-286f42eb3c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1227</Words>
  <Characters>1297</Characters>
  <TotalTime>0</TotalTime>
  <ScaleCrop>false</ScaleCrop>
  <LinksUpToDate>false</LinksUpToDate>
  <CharactersWithSpaces>1297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2026-05-13T22:46:00Z</dcterms:created>
  <dc:creator>webotl</dc:creator>
  <cp:lastModifiedBy>郑来德</cp:lastModifiedBy>
  <dcterms:modified xsi:type="dcterms:W3CDTF">2026-07-05T02:15:58Z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webotl</vt:lpwstr>
  </property>
  <property fmtid="{D5CDD505-2E9C-101B-9397-08002B2CF9AE}" pid="3" name="KSOTemplateDocerSaveRecord">
    <vt:lpwstr>eyJoZGlkIjoiMmMzYzRhZjc3YzNmNmMyMjRmOTgwYjNlOTBiOTBiNGEiLCJ1c2VySWQiOiIzODc5MjY4MzcifQ==</vt:lpwstr>
  </property>
  <property fmtid="{D5CDD505-2E9C-101B-9397-08002B2CF9AE}" pid="4" name="KSOProductBuildVer">
    <vt:lpwstr>2052-12.1.0.26895</vt:lpwstr>
  </property>
  <property fmtid="{D5CDD505-2E9C-101B-9397-08002B2CF9AE}" pid="5" name="ICV">
    <vt:lpwstr>7A72B1CA5E1B42B28C366469EF048DBE_13</vt:lpwstr>
  </property>
</Properties>
</file>