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hint="eastAsia" w:ascii="Times New Roman" w:hAnsi="Times New Roman" w:eastAsia="宋体" w:cs="Times New Roman"/>
          <w:b w:val="0"/>
          <w:bCs/>
          <w:kern w:val="0"/>
          <w:sz w:val="28"/>
          <w:szCs w:val="28"/>
          <w:lang w:val="en-US" w:eastAsia="zh-CN" w:bidi="ar-SA"/>
        </w:rPr>
      </w:pPr>
      <w:r>
        <w:rPr>
          <w:rFonts w:hint="eastAsia" w:ascii="Times New Roman" w:hAnsi="Times New Roman" w:eastAsia="宋体" w:cs="Times New Roman"/>
          <w:b w:val="0"/>
          <w:bCs/>
          <w:kern w:val="0"/>
          <w:sz w:val="28"/>
          <w:szCs w:val="28"/>
          <w:lang w:val="en-US" w:eastAsia="zh-CN" w:bidi="ar-SA"/>
        </w:rPr>
        <w:t>附件：</w:t>
      </w:r>
    </w:p>
    <w:p>
      <w:pPr>
        <w:pStyle w:val="2"/>
        <w:rPr>
          <w:rFonts w:hint="eastAsia"/>
        </w:rPr>
      </w:pPr>
      <w:r>
        <w:rPr>
          <w:rFonts w:hint="eastAsia"/>
        </w:rPr>
        <w:t>拟申报2020年度高等学校科学研究优秀成果奖项目情况</w:t>
      </w:r>
    </w:p>
    <w:p>
      <w:pPr>
        <w:autoSpaceDE w:val="0"/>
        <w:autoSpaceDN w:val="0"/>
        <w:adjustRightInd w:val="0"/>
        <w:jc w:val="center"/>
        <w:rPr>
          <w:rFonts w:hint="eastAsia" w:eastAsia="宋体"/>
          <w:lang w:eastAsia="zh-CN"/>
        </w:rPr>
      </w:pPr>
      <w:r>
        <w:rPr>
          <w:rFonts w:hint="eastAsia"/>
          <w:lang w:eastAsia="zh-CN"/>
        </w:rPr>
        <w:t>（</w:t>
      </w:r>
      <w:r>
        <w:rPr>
          <w:b/>
          <w:kern w:val="0"/>
          <w:sz w:val="28"/>
          <w:szCs w:val="28"/>
        </w:rPr>
        <w:t>自然</w:t>
      </w:r>
      <w:r>
        <w:rPr>
          <w:rFonts w:hint="eastAsia"/>
          <w:b/>
          <w:kern w:val="0"/>
          <w:sz w:val="28"/>
          <w:szCs w:val="28"/>
        </w:rPr>
        <w:t>科学</w:t>
      </w:r>
      <w:r>
        <w:rPr>
          <w:b/>
          <w:kern w:val="0"/>
          <w:sz w:val="28"/>
          <w:szCs w:val="28"/>
        </w:rPr>
        <w:t>奖</w:t>
      </w:r>
      <w:r>
        <w:rPr>
          <w:rFonts w:hint="eastAsia"/>
          <w:lang w:eastAsia="zh-CN"/>
        </w:rPr>
        <w:t>）</w:t>
      </w:r>
    </w:p>
    <w:p>
      <w:pPr>
        <w:numPr>
          <w:ilvl w:val="0"/>
          <w:numId w:val="1"/>
        </w:numPr>
        <w:autoSpaceDE w:val="0"/>
        <w:autoSpaceDN w:val="0"/>
        <w:adjustRightInd w:val="0"/>
        <w:jc w:val="left"/>
        <w:rPr>
          <w:b/>
          <w:bCs/>
          <w:kern w:val="0"/>
          <w:sz w:val="28"/>
          <w:szCs w:val="28"/>
        </w:rPr>
      </w:pPr>
      <w:bookmarkStart w:id="0" w:name="_GoBack"/>
      <w:bookmarkEnd w:id="0"/>
      <w:r>
        <w:rPr>
          <w:b/>
          <w:bCs/>
          <w:kern w:val="0"/>
          <w:sz w:val="28"/>
          <w:szCs w:val="28"/>
        </w:rPr>
        <w:t>项目名称</w:t>
      </w:r>
    </w:p>
    <w:p>
      <w:pPr>
        <w:autoSpaceDE w:val="0"/>
        <w:autoSpaceDN w:val="0"/>
        <w:adjustRightInd w:val="0"/>
        <w:jc w:val="left"/>
        <w:rPr>
          <w:rFonts w:ascii="楷体" w:hAnsi="楷体" w:eastAsia="楷体"/>
          <w:b/>
          <w:bCs/>
          <w:kern w:val="0"/>
          <w:sz w:val="28"/>
          <w:szCs w:val="28"/>
        </w:rPr>
      </w:pPr>
      <w:r>
        <w:rPr>
          <w:rFonts w:hint="eastAsia"/>
          <w:b/>
          <w:bCs/>
          <w:kern w:val="0"/>
          <w:sz w:val="28"/>
          <w:szCs w:val="28"/>
        </w:rPr>
        <w:t xml:space="preserve"> </w:t>
      </w:r>
      <w:r>
        <w:rPr>
          <w:b/>
          <w:bCs/>
          <w:kern w:val="0"/>
          <w:sz w:val="28"/>
          <w:szCs w:val="28"/>
        </w:rPr>
        <w:t xml:space="preserve">   </w:t>
      </w:r>
      <w:r>
        <w:rPr>
          <w:rFonts w:hint="eastAsia" w:ascii="楷体" w:hAnsi="楷体" w:eastAsia="楷体"/>
          <w:b/>
          <w:bCs/>
          <w:kern w:val="0"/>
          <w:sz w:val="28"/>
          <w:szCs w:val="28"/>
        </w:rPr>
        <w:t>奇特强子态的动力学产生及其结构效应</w:t>
      </w:r>
    </w:p>
    <w:p>
      <w:pPr>
        <w:numPr>
          <w:ilvl w:val="0"/>
          <w:numId w:val="1"/>
        </w:numPr>
        <w:autoSpaceDE w:val="0"/>
        <w:autoSpaceDN w:val="0"/>
        <w:adjustRightInd w:val="0"/>
        <w:jc w:val="left"/>
        <w:rPr>
          <w:b/>
          <w:bCs/>
          <w:kern w:val="0"/>
          <w:sz w:val="28"/>
          <w:szCs w:val="28"/>
        </w:rPr>
      </w:pPr>
      <w:r>
        <w:rPr>
          <w:rFonts w:hint="eastAsia"/>
          <w:b/>
          <w:bCs/>
          <w:kern w:val="0"/>
          <w:sz w:val="28"/>
          <w:szCs w:val="28"/>
        </w:rPr>
        <w:t>提名单位（提名专家）</w:t>
      </w:r>
    </w:p>
    <w:p>
      <w:pPr>
        <w:autoSpaceDE w:val="0"/>
        <w:autoSpaceDN w:val="0"/>
        <w:adjustRightInd w:val="0"/>
        <w:ind w:firstLine="562" w:firstLineChars="200"/>
        <w:jc w:val="left"/>
        <w:rPr>
          <w:rFonts w:ascii="楷体" w:hAnsi="楷体" w:eastAsia="楷体"/>
          <w:b/>
          <w:bCs/>
          <w:kern w:val="0"/>
          <w:sz w:val="28"/>
          <w:szCs w:val="28"/>
        </w:rPr>
      </w:pPr>
      <w:r>
        <w:rPr>
          <w:rFonts w:hint="eastAsia" w:ascii="楷体" w:hAnsi="楷体" w:eastAsia="楷体"/>
          <w:b/>
          <w:bCs/>
          <w:kern w:val="0"/>
          <w:sz w:val="28"/>
          <w:szCs w:val="28"/>
        </w:rPr>
        <w:t>广西壮族自治区</w:t>
      </w:r>
      <w:r>
        <w:rPr>
          <w:rFonts w:ascii="楷体" w:hAnsi="楷体" w:eastAsia="楷体"/>
          <w:b/>
          <w:bCs/>
          <w:kern w:val="0"/>
          <w:sz w:val="28"/>
          <w:szCs w:val="28"/>
        </w:rPr>
        <w:t>教育厅</w:t>
      </w:r>
    </w:p>
    <w:p>
      <w:pPr>
        <w:numPr>
          <w:ilvl w:val="0"/>
          <w:numId w:val="1"/>
        </w:numPr>
        <w:autoSpaceDE w:val="0"/>
        <w:autoSpaceDN w:val="0"/>
        <w:adjustRightInd w:val="0"/>
        <w:jc w:val="left"/>
        <w:rPr>
          <w:b/>
          <w:bCs/>
          <w:kern w:val="0"/>
          <w:sz w:val="28"/>
          <w:szCs w:val="28"/>
        </w:rPr>
      </w:pPr>
      <w:r>
        <w:rPr>
          <w:b/>
          <w:bCs/>
          <w:kern w:val="0"/>
          <w:sz w:val="28"/>
          <w:szCs w:val="28"/>
        </w:rPr>
        <w:t>项目简介</w:t>
      </w:r>
    </w:p>
    <w:p>
      <w:pPr>
        <w:spacing w:line="360" w:lineRule="exact"/>
        <w:ind w:left="480" w:firstLine="480" w:firstLineChars="200"/>
        <w:rPr>
          <w:rFonts w:ascii="楷体" w:hAnsi="楷体" w:eastAsia="楷体"/>
          <w:sz w:val="24"/>
        </w:rPr>
      </w:pPr>
      <w:r>
        <w:rPr>
          <w:rFonts w:hint="eastAsia" w:ascii="楷体" w:hAnsi="楷体" w:eastAsia="楷体"/>
          <w:sz w:val="24"/>
        </w:rPr>
        <w:t>该项目属于中高能核物理基础研究领域。主要研究内容为当前高能物理与原子核物理领域非常关心的一类亚原子粒子——强子的内部结构和相互作用。强子是直接参与强相互作用的一类亚原子粒子的统称，人们所熟知的质子和中子就是强子。强子的内部结构和强子间的强相互作用成为当前物质微观结构、物质相互作用及转化规律研究的最前沿。量子色动力学（QCD）被认为是描写强相互作用的基本理论。目前，对于QCD在强子能区物理的理解仍旧处于初级阶段。最根本的挑战来自于QCD 低能区的非微扰特性，以及与之密切相关的色禁闭。色禁闭使得研究强子谱和强子结构成为理解QCD低能区非微扰特性所不得不面对的、具有十分重要科学意义的问题。</w:t>
      </w:r>
    </w:p>
    <w:p>
      <w:pPr>
        <w:spacing w:line="360" w:lineRule="exact"/>
        <w:ind w:left="480" w:firstLine="480" w:firstLineChars="200"/>
        <w:rPr>
          <w:rFonts w:ascii="楷体" w:hAnsi="楷体" w:eastAsia="楷体"/>
          <w:sz w:val="24"/>
        </w:rPr>
      </w:pPr>
      <w:r>
        <w:rPr>
          <w:rFonts w:hint="eastAsia" w:ascii="楷体" w:hAnsi="楷体" w:eastAsia="楷体"/>
          <w:sz w:val="24"/>
        </w:rPr>
        <w:t>当前实验上已发现的强子中的大部分都可以归入常规强子态（即由一对正反夸克组成的介子或由三个夸克组成的重子），但有一部分强子（包括近年来国内外大科学装置上发现的一些新强子态）被认为是结构更为复杂的奇特强子态的候选者。从实验和理论上进一步确认奇特强子态的存在、研究它们的动力学产生机制并在不同的物理反应过程中检验它们的结构特性成为当前强子物理研究的焦点和热点。</w:t>
      </w:r>
    </w:p>
    <w:p>
      <w:pPr>
        <w:spacing w:line="360" w:lineRule="exact"/>
        <w:ind w:left="480" w:firstLine="480" w:firstLineChars="200"/>
        <w:rPr>
          <w:rFonts w:ascii="楷体" w:hAnsi="楷体" w:eastAsia="楷体"/>
          <w:sz w:val="24"/>
        </w:rPr>
      </w:pPr>
      <w:r>
        <w:rPr>
          <w:rFonts w:hint="eastAsia" w:ascii="楷体" w:hAnsi="楷体" w:eastAsia="楷体"/>
          <w:sz w:val="24"/>
        </w:rPr>
        <w:t>该项目从强子-强子散射、强子衰变过程两方面着手，立足于描写强相互作用的低能有效理论，在轻味夸克区、重味夸克区分别开展了奇特强子态动力学产生机制及其结构特性的研究，取得了丰富的研究成果，获得了关于奇特态动力学和结构特性的一些新发现。这些新发现不仅为今后从实验上检验奇特强子态的性质和结构提供了必要的理论依据，也加深了人们对强子间相互作用和QCD低能区非微扰效应的理解。该项目重要的科学发现点包括：</w:t>
      </w:r>
      <w:r>
        <w:rPr>
          <w:rFonts w:ascii="楷体" w:hAnsi="楷体" w:eastAsia="楷体"/>
          <w:sz w:val="24"/>
        </w:rPr>
        <w:t>(1)</w:t>
      </w:r>
      <w:r>
        <w:rPr>
          <w:rFonts w:hint="eastAsia" w:ascii="楷体" w:hAnsi="楷体" w:eastAsia="楷体"/>
          <w:sz w:val="24"/>
        </w:rPr>
        <w:t>将成功描写轻夸克区介子-重子相互作用的定域隐规范理论推广至包含b夸克或c夸克的重味夸克区，在矢量介子为主的相互作用机制下，发现重夸克表现为“旁观者”，介子-重子相互作用与重夸克自旋无关，味道SU</w:t>
      </w:r>
      <w:r>
        <w:rPr>
          <w:rFonts w:ascii="楷体" w:hAnsi="楷体" w:eastAsia="楷体"/>
          <w:sz w:val="24"/>
        </w:rPr>
        <w:t>(4)</w:t>
      </w:r>
      <w:r>
        <w:rPr>
          <w:rFonts w:hint="eastAsia" w:ascii="楷体" w:hAnsi="楷体" w:eastAsia="楷体"/>
          <w:sz w:val="24"/>
        </w:rPr>
        <w:t>理论可约化为S</w:t>
      </w:r>
      <w:r>
        <w:rPr>
          <w:rFonts w:ascii="楷体" w:hAnsi="楷体" w:eastAsia="楷体"/>
          <w:sz w:val="24"/>
        </w:rPr>
        <w:t>U(3)</w:t>
      </w:r>
      <w:r>
        <w:rPr>
          <w:rFonts w:hint="eastAsia" w:ascii="楷体" w:hAnsi="楷体" w:eastAsia="楷体"/>
          <w:sz w:val="24"/>
        </w:rPr>
        <w:t>理论，为重夸克区介子-重子相互作用体系的研究开辟了一种既简单又具有清晰物理图像的新途径，易于得到动力学产生的奇特强子态的结构信息。(</w:t>
      </w:r>
      <w:r>
        <w:rPr>
          <w:rFonts w:ascii="楷体" w:hAnsi="楷体" w:eastAsia="楷体"/>
          <w:sz w:val="24"/>
        </w:rPr>
        <w:t>2)</w:t>
      </w:r>
      <w:r>
        <w:rPr>
          <w:rFonts w:hint="eastAsia" w:ascii="楷体" w:hAnsi="楷体" w:eastAsia="楷体"/>
          <w:sz w:val="24"/>
        </w:rPr>
        <w:t>首次发现，相较于动力学产生的奇特强子态与各反应道间的耦合常数而言，动力学产生态在原点的波函数能更好地刻画该态与各不同成分的相关联性，可作为奇特强子态内部主要成分的判据。(</w:t>
      </w:r>
      <w:r>
        <w:rPr>
          <w:rFonts w:ascii="楷体" w:hAnsi="楷体" w:eastAsia="楷体"/>
          <w:sz w:val="24"/>
        </w:rPr>
        <w:t>3</w:t>
      </w:r>
      <w:r>
        <w:rPr>
          <w:rFonts w:hint="eastAsia" w:ascii="楷体" w:hAnsi="楷体" w:eastAsia="楷体"/>
          <w:sz w:val="24"/>
        </w:rPr>
        <w:t>)创造性地提出，重味介子的弱衰变过程可作为检验轻标量介子分子态结构特性的很好场所。基于衰变过程的夸克层次Feynman图，将弱相互作用相关的顶角因子化，衰变末态的一对正反夸克强子化成一对赝标介子，而作为衰变中间态的轻标量介子则通过一对赝标介子的重散射机制产生。采用这种机制计算得到的末态不变质量谱、衰变分支比等物理可观测量包含了标量介子的结构信息，与实验数据的比较可检验该结构信息。</w:t>
      </w:r>
    </w:p>
    <w:p>
      <w:pPr>
        <w:spacing w:line="360" w:lineRule="exact"/>
        <w:ind w:left="480" w:firstLine="480" w:firstLineChars="200"/>
        <w:rPr>
          <w:rFonts w:ascii="楷体" w:hAnsi="楷体" w:eastAsia="楷体"/>
          <w:sz w:val="24"/>
        </w:rPr>
      </w:pPr>
      <w:r>
        <w:rPr>
          <w:rFonts w:hint="eastAsia" w:ascii="楷体" w:hAnsi="楷体" w:eastAsia="楷体"/>
          <w:sz w:val="24"/>
        </w:rPr>
        <w:t>该项目成果总体处于国际先进水平，部分成果达到国际领先水平，受到国内外同行的广泛关注，得到欧洲大型强子对撞机LHCb合作组、相关专题综述论文等的正面引用，被他人引用59</w:t>
      </w:r>
      <w:r>
        <w:rPr>
          <w:rFonts w:ascii="楷体" w:hAnsi="楷体" w:eastAsia="楷体"/>
          <w:sz w:val="24"/>
        </w:rPr>
        <w:t>次</w:t>
      </w:r>
      <w:r>
        <w:rPr>
          <w:rFonts w:hint="eastAsia" w:ascii="楷体" w:hAnsi="楷体" w:eastAsia="楷体"/>
          <w:sz w:val="24"/>
        </w:rPr>
        <w:t>。</w:t>
      </w:r>
    </w:p>
    <w:p>
      <w:pPr>
        <w:autoSpaceDE w:val="0"/>
        <w:autoSpaceDN w:val="0"/>
        <w:adjustRightInd w:val="0"/>
        <w:spacing w:line="240" w:lineRule="exact"/>
        <w:jc w:val="left"/>
        <w:rPr>
          <w:b/>
          <w:bCs/>
          <w:kern w:val="0"/>
          <w:sz w:val="28"/>
          <w:szCs w:val="28"/>
        </w:rPr>
      </w:pPr>
    </w:p>
    <w:p>
      <w:pPr>
        <w:autoSpaceDE w:val="0"/>
        <w:autoSpaceDN w:val="0"/>
        <w:adjustRightInd w:val="0"/>
        <w:spacing w:line="440" w:lineRule="exact"/>
        <w:jc w:val="left"/>
        <w:rPr>
          <w:b/>
          <w:bCs/>
          <w:kern w:val="0"/>
          <w:sz w:val="28"/>
          <w:szCs w:val="28"/>
        </w:rPr>
      </w:pPr>
      <w:r>
        <w:rPr>
          <w:rFonts w:hint="eastAsia"/>
          <w:b/>
          <w:bCs/>
          <w:kern w:val="0"/>
          <w:sz w:val="28"/>
          <w:szCs w:val="28"/>
        </w:rPr>
        <w:t>四、主要完成人情况（包括：排名、姓名、技术职称、工作单位、完成单位、对本项目重要科学发现的贡献）</w:t>
      </w:r>
    </w:p>
    <w:p>
      <w:pPr>
        <w:autoSpaceDE w:val="0"/>
        <w:autoSpaceDN w:val="0"/>
        <w:adjustRightInd w:val="0"/>
        <w:spacing w:line="440" w:lineRule="exact"/>
        <w:ind w:left="630" w:leftChars="300"/>
        <w:jc w:val="left"/>
        <w:rPr>
          <w:kern w:val="0"/>
          <w:sz w:val="24"/>
        </w:rPr>
      </w:pPr>
      <w:r>
        <w:rPr>
          <w:rFonts w:hint="eastAsia"/>
          <w:kern w:val="0"/>
          <w:sz w:val="24"/>
        </w:rPr>
        <w:t>第一完成人</w:t>
      </w:r>
    </w:p>
    <w:p>
      <w:pPr>
        <w:autoSpaceDE w:val="0"/>
        <w:autoSpaceDN w:val="0"/>
        <w:adjustRightInd w:val="0"/>
        <w:spacing w:line="440" w:lineRule="exact"/>
        <w:ind w:left="630" w:leftChars="300" w:firstLine="482" w:firstLineChars="200"/>
        <w:jc w:val="left"/>
        <w:rPr>
          <w:rFonts w:ascii="楷体" w:hAnsi="楷体" w:eastAsia="楷体"/>
          <w:kern w:val="0"/>
          <w:sz w:val="24"/>
        </w:rPr>
      </w:pPr>
      <w:r>
        <w:rPr>
          <w:rFonts w:hint="eastAsia" w:ascii="楷体" w:hAnsi="楷体" w:eastAsia="楷体"/>
          <w:b/>
          <w:bCs/>
          <w:kern w:val="0"/>
          <w:sz w:val="24"/>
        </w:rPr>
        <w:t>姓名、技术职称：</w:t>
      </w:r>
      <w:r>
        <w:rPr>
          <w:rFonts w:hint="eastAsia" w:ascii="楷体" w:hAnsi="楷体" w:eastAsia="楷体"/>
          <w:kern w:val="0"/>
          <w:sz w:val="24"/>
        </w:rPr>
        <w:t>梁伟红</w:t>
      </w:r>
      <w:r>
        <w:rPr>
          <w:rFonts w:ascii="楷体" w:hAnsi="楷体" w:eastAsia="楷体"/>
          <w:kern w:val="0"/>
          <w:sz w:val="24"/>
        </w:rPr>
        <w:t xml:space="preserve"> </w:t>
      </w:r>
      <w:r>
        <w:rPr>
          <w:rFonts w:hint="eastAsia" w:ascii="楷体" w:hAnsi="楷体" w:eastAsia="楷体"/>
          <w:kern w:val="0"/>
          <w:sz w:val="24"/>
        </w:rPr>
        <w:t>教授</w:t>
      </w:r>
    </w:p>
    <w:p>
      <w:pPr>
        <w:autoSpaceDE w:val="0"/>
        <w:autoSpaceDN w:val="0"/>
        <w:adjustRightInd w:val="0"/>
        <w:spacing w:line="440" w:lineRule="exact"/>
        <w:ind w:left="630" w:leftChars="300" w:firstLine="482" w:firstLineChars="200"/>
        <w:jc w:val="left"/>
        <w:rPr>
          <w:rFonts w:ascii="楷体" w:hAnsi="楷体" w:eastAsia="楷体"/>
          <w:kern w:val="0"/>
          <w:sz w:val="24"/>
        </w:rPr>
      </w:pPr>
      <w:r>
        <w:rPr>
          <w:rFonts w:hint="eastAsia" w:ascii="楷体" w:hAnsi="楷体" w:eastAsia="楷体"/>
          <w:b/>
          <w:bCs/>
          <w:kern w:val="0"/>
          <w:sz w:val="24"/>
        </w:rPr>
        <w:t>工作单位（完成单位）：</w:t>
      </w:r>
      <w:r>
        <w:rPr>
          <w:rFonts w:hint="eastAsia" w:ascii="楷体" w:hAnsi="楷体" w:eastAsia="楷体"/>
          <w:kern w:val="0"/>
          <w:sz w:val="24"/>
        </w:rPr>
        <w:t>广西师范大学（广西师范大学）</w:t>
      </w:r>
    </w:p>
    <w:p>
      <w:pPr>
        <w:autoSpaceDE w:val="0"/>
        <w:autoSpaceDN w:val="0"/>
        <w:adjustRightInd w:val="0"/>
        <w:spacing w:line="440" w:lineRule="exact"/>
        <w:ind w:left="630" w:leftChars="300" w:firstLine="482" w:firstLineChars="200"/>
        <w:rPr>
          <w:rFonts w:ascii="楷体" w:hAnsi="楷体" w:eastAsia="楷体"/>
          <w:kern w:val="0"/>
          <w:sz w:val="24"/>
        </w:rPr>
      </w:pPr>
      <w:r>
        <w:rPr>
          <w:rFonts w:hint="eastAsia" w:ascii="楷体" w:hAnsi="楷体" w:eastAsia="楷体"/>
          <w:b/>
          <w:bCs/>
          <w:kern w:val="0"/>
          <w:sz w:val="24"/>
        </w:rPr>
        <w:t>对项目主要学术贡献：</w:t>
      </w:r>
      <w:r>
        <w:rPr>
          <w:rFonts w:ascii="楷体" w:hAnsi="楷体" w:eastAsia="楷体"/>
          <w:kern w:val="0"/>
          <w:sz w:val="24"/>
        </w:rPr>
        <w:t>项目负责人，全面负责项目实施。利用重夸克</w:t>
      </w:r>
      <w:r>
        <w:rPr>
          <w:rFonts w:hint="eastAsia" w:ascii="楷体" w:hAnsi="楷体" w:eastAsia="楷体"/>
          <w:kern w:val="0"/>
          <w:sz w:val="24"/>
        </w:rPr>
        <w:t>的旁观者效应</w:t>
      </w:r>
      <w:r>
        <w:rPr>
          <w:rFonts w:ascii="楷体" w:hAnsi="楷体" w:eastAsia="楷体"/>
          <w:kern w:val="0"/>
          <w:sz w:val="24"/>
        </w:rPr>
        <w:t>，</w:t>
      </w:r>
      <w:r>
        <w:rPr>
          <w:rFonts w:hint="eastAsia" w:ascii="楷体" w:hAnsi="楷体" w:eastAsia="楷体"/>
          <w:kern w:val="0"/>
          <w:sz w:val="24"/>
        </w:rPr>
        <w:t>创新性地</w:t>
      </w:r>
      <w:r>
        <w:rPr>
          <w:rFonts w:ascii="楷体" w:hAnsi="楷体" w:eastAsia="楷体"/>
          <w:kern w:val="0"/>
          <w:sz w:val="24"/>
        </w:rPr>
        <w:t>将成功描写轻味夸克区介子-重子</w:t>
      </w:r>
      <w:r>
        <w:rPr>
          <w:rFonts w:hint="eastAsia" w:ascii="楷体" w:hAnsi="楷体" w:eastAsia="楷体"/>
          <w:kern w:val="0"/>
          <w:sz w:val="24"/>
        </w:rPr>
        <w:t>散射的定域隐规范理论推广至重味夸克区，为重味夸克区的介子-重子散射、重味强子奇特态的动力学产生机制及其结构特性研究开辟了新的途径。</w:t>
      </w:r>
      <w:r>
        <w:rPr>
          <w:rFonts w:ascii="楷体" w:hAnsi="楷体" w:eastAsia="楷体"/>
          <w:kern w:val="0"/>
          <w:sz w:val="24"/>
        </w:rPr>
        <w:t>是代表作1、2、3、4、5的第一作者和通讯作者。</w:t>
      </w:r>
    </w:p>
    <w:p>
      <w:pPr>
        <w:autoSpaceDE w:val="0"/>
        <w:autoSpaceDN w:val="0"/>
        <w:adjustRightInd w:val="0"/>
        <w:spacing w:line="240" w:lineRule="exact"/>
        <w:ind w:left="630" w:leftChars="300" w:firstLine="480" w:firstLineChars="200"/>
        <w:jc w:val="left"/>
        <w:rPr>
          <w:rFonts w:ascii="楷体" w:hAnsi="楷体" w:eastAsia="楷体"/>
          <w:kern w:val="0"/>
          <w:sz w:val="24"/>
        </w:rPr>
      </w:pPr>
    </w:p>
    <w:p>
      <w:pPr>
        <w:autoSpaceDE w:val="0"/>
        <w:autoSpaceDN w:val="0"/>
        <w:adjustRightInd w:val="0"/>
        <w:spacing w:line="440" w:lineRule="exact"/>
        <w:ind w:left="630" w:leftChars="300"/>
        <w:jc w:val="left"/>
        <w:rPr>
          <w:kern w:val="0"/>
          <w:sz w:val="24"/>
        </w:rPr>
      </w:pPr>
      <w:r>
        <w:rPr>
          <w:rFonts w:hint="eastAsia"/>
          <w:kern w:val="0"/>
          <w:sz w:val="24"/>
        </w:rPr>
        <w:t>第二完成人</w:t>
      </w:r>
    </w:p>
    <w:p>
      <w:pPr>
        <w:autoSpaceDE w:val="0"/>
        <w:autoSpaceDN w:val="0"/>
        <w:adjustRightInd w:val="0"/>
        <w:spacing w:line="440" w:lineRule="exact"/>
        <w:ind w:left="630" w:leftChars="300" w:firstLine="482" w:firstLineChars="200"/>
        <w:jc w:val="left"/>
        <w:rPr>
          <w:rFonts w:ascii="楷体" w:hAnsi="楷体" w:eastAsia="楷体"/>
          <w:kern w:val="0"/>
          <w:sz w:val="24"/>
        </w:rPr>
      </w:pPr>
      <w:r>
        <w:rPr>
          <w:rFonts w:hint="eastAsia" w:ascii="楷体" w:hAnsi="楷体" w:eastAsia="楷体"/>
          <w:b/>
          <w:bCs/>
          <w:kern w:val="0"/>
          <w:sz w:val="24"/>
        </w:rPr>
        <w:t>姓名、技术职称：</w:t>
      </w:r>
      <w:r>
        <w:rPr>
          <w:rFonts w:hint="eastAsia" w:ascii="楷体" w:hAnsi="楷体" w:eastAsia="楷体"/>
          <w:kern w:val="0"/>
          <w:sz w:val="24"/>
        </w:rPr>
        <w:t>谢聚军 研究员</w:t>
      </w:r>
    </w:p>
    <w:p>
      <w:pPr>
        <w:autoSpaceDE w:val="0"/>
        <w:autoSpaceDN w:val="0"/>
        <w:adjustRightInd w:val="0"/>
        <w:spacing w:line="440" w:lineRule="exact"/>
        <w:ind w:left="630" w:leftChars="300" w:firstLine="482" w:firstLineChars="200"/>
        <w:jc w:val="left"/>
        <w:rPr>
          <w:rFonts w:ascii="楷体" w:hAnsi="楷体" w:eastAsia="楷体"/>
          <w:kern w:val="0"/>
          <w:sz w:val="24"/>
        </w:rPr>
      </w:pPr>
      <w:r>
        <w:rPr>
          <w:rFonts w:hint="eastAsia" w:ascii="楷体" w:hAnsi="楷体" w:eastAsia="楷体"/>
          <w:b/>
          <w:bCs/>
          <w:kern w:val="0"/>
          <w:sz w:val="24"/>
        </w:rPr>
        <w:t>工作单位（完成单位）：</w:t>
      </w:r>
      <w:r>
        <w:rPr>
          <w:rFonts w:hint="eastAsia" w:ascii="楷体" w:hAnsi="楷体" w:eastAsia="楷体"/>
          <w:kern w:val="0"/>
          <w:sz w:val="24"/>
        </w:rPr>
        <w:t>中国科学院近代物理研究所</w:t>
      </w:r>
    </w:p>
    <w:p>
      <w:pPr>
        <w:autoSpaceDE w:val="0"/>
        <w:autoSpaceDN w:val="0"/>
        <w:adjustRightInd w:val="0"/>
        <w:spacing w:line="440" w:lineRule="exact"/>
        <w:ind w:left="630" w:leftChars="300" w:firstLine="2880" w:firstLineChars="1200"/>
        <w:jc w:val="left"/>
        <w:rPr>
          <w:rFonts w:ascii="楷体" w:hAnsi="楷体" w:eastAsia="楷体"/>
          <w:kern w:val="0"/>
          <w:sz w:val="24"/>
        </w:rPr>
      </w:pPr>
      <w:r>
        <w:rPr>
          <w:rFonts w:hint="eastAsia" w:ascii="楷体" w:hAnsi="楷体" w:eastAsia="楷体"/>
          <w:kern w:val="0"/>
          <w:sz w:val="24"/>
        </w:rPr>
        <w:t>（中国科学院近代物理研究所）</w:t>
      </w:r>
    </w:p>
    <w:p>
      <w:pPr>
        <w:autoSpaceDE w:val="0"/>
        <w:autoSpaceDN w:val="0"/>
        <w:adjustRightInd w:val="0"/>
        <w:spacing w:line="440" w:lineRule="exact"/>
        <w:ind w:left="630" w:leftChars="300" w:firstLine="482" w:firstLineChars="200"/>
        <w:rPr>
          <w:rFonts w:ascii="楷体" w:hAnsi="楷体" w:eastAsia="楷体"/>
          <w:color w:val="FF0000"/>
          <w:kern w:val="0"/>
          <w:sz w:val="24"/>
        </w:rPr>
      </w:pPr>
      <w:r>
        <w:rPr>
          <w:rFonts w:hint="eastAsia" w:ascii="楷体" w:hAnsi="楷体" w:eastAsia="楷体"/>
          <w:b/>
          <w:bCs/>
          <w:kern w:val="0"/>
          <w:sz w:val="24"/>
        </w:rPr>
        <w:t>对项目主要学术贡献：</w:t>
      </w:r>
      <w:r>
        <w:rPr>
          <w:rFonts w:ascii="楷体" w:hAnsi="楷体" w:eastAsia="楷体"/>
          <w:kern w:val="0"/>
          <w:sz w:val="24"/>
        </w:rPr>
        <w:t>利用</w:t>
      </w:r>
      <w:r>
        <w:rPr>
          <w:rFonts w:hint="eastAsia" w:ascii="楷体" w:hAnsi="楷体" w:eastAsia="楷体"/>
          <w:kern w:val="0"/>
          <w:sz w:val="24"/>
        </w:rPr>
        <w:t>有效</w:t>
      </w:r>
      <w:r>
        <w:rPr>
          <w:rFonts w:ascii="楷体" w:hAnsi="楷体" w:eastAsia="楷体"/>
          <w:kern w:val="0"/>
          <w:sz w:val="24"/>
        </w:rPr>
        <w:t>拉氏量方法和共振态模型以及手征幺正理论，</w:t>
      </w:r>
      <w:r>
        <w:rPr>
          <w:rFonts w:hint="eastAsia" w:ascii="楷体" w:hAnsi="楷体" w:eastAsia="楷体"/>
          <w:kern w:val="0"/>
          <w:sz w:val="24"/>
        </w:rPr>
        <w:t>指出在重味强子衰变中研究轻味奇特强子的可能性和重要性，为研究轻味能区的奇特强子态开辟了新的研究场所和新的理想过程，为研究轻味奇特强子态作出了重要贡献，并对相关过程做了科学分析和理论计算。是代表作4和5的主要作者。</w:t>
      </w:r>
    </w:p>
    <w:p>
      <w:pPr>
        <w:autoSpaceDE w:val="0"/>
        <w:autoSpaceDN w:val="0"/>
        <w:adjustRightInd w:val="0"/>
        <w:jc w:val="left"/>
        <w:rPr>
          <w:b/>
          <w:bCs/>
          <w:kern w:val="0"/>
          <w:sz w:val="28"/>
          <w:szCs w:val="28"/>
        </w:rPr>
      </w:pPr>
      <w:r>
        <w:rPr>
          <w:rFonts w:hint="eastAsia"/>
          <w:b/>
          <w:bCs/>
          <w:kern w:val="0"/>
          <w:sz w:val="28"/>
          <w:szCs w:val="28"/>
        </w:rPr>
        <w:t>五、主要完成单位</w:t>
      </w:r>
    </w:p>
    <w:p>
      <w:pPr>
        <w:autoSpaceDE w:val="0"/>
        <w:autoSpaceDN w:val="0"/>
        <w:adjustRightInd w:val="0"/>
        <w:spacing w:line="440" w:lineRule="exact"/>
        <w:ind w:left="630" w:leftChars="300"/>
        <w:jc w:val="left"/>
        <w:rPr>
          <w:rFonts w:ascii="楷体" w:hAnsi="楷体" w:eastAsia="楷体"/>
          <w:kern w:val="0"/>
          <w:sz w:val="24"/>
        </w:rPr>
      </w:pPr>
      <w:r>
        <w:rPr>
          <w:rFonts w:hint="eastAsia" w:ascii="楷体" w:hAnsi="楷体" w:eastAsia="楷体"/>
          <w:b/>
          <w:bCs/>
          <w:kern w:val="0"/>
          <w:sz w:val="24"/>
        </w:rPr>
        <w:t>第一完成单位：</w:t>
      </w:r>
      <w:r>
        <w:rPr>
          <w:rFonts w:hint="eastAsia" w:ascii="楷体" w:hAnsi="楷体" w:eastAsia="楷体"/>
          <w:kern w:val="0"/>
          <w:sz w:val="24"/>
        </w:rPr>
        <w:t>广西师范大学</w:t>
      </w:r>
    </w:p>
    <w:p>
      <w:pPr>
        <w:autoSpaceDE w:val="0"/>
        <w:autoSpaceDN w:val="0"/>
        <w:adjustRightInd w:val="0"/>
        <w:spacing w:line="440" w:lineRule="exact"/>
        <w:ind w:left="630" w:leftChars="300" w:firstLine="482" w:firstLineChars="200"/>
        <w:rPr>
          <w:rFonts w:ascii="楷体" w:hAnsi="楷体" w:eastAsia="楷体"/>
          <w:kern w:val="0"/>
          <w:sz w:val="24"/>
        </w:rPr>
      </w:pPr>
      <w:r>
        <w:rPr>
          <w:rFonts w:hint="eastAsia" w:ascii="楷体" w:hAnsi="楷体" w:eastAsia="楷体"/>
          <w:b/>
          <w:bCs/>
          <w:kern w:val="0"/>
          <w:sz w:val="24"/>
        </w:rPr>
        <w:t>对项目主要贡献：</w:t>
      </w:r>
      <w:r>
        <w:rPr>
          <w:rFonts w:hint="eastAsia" w:ascii="楷体" w:hAnsi="楷体" w:eastAsia="楷体"/>
          <w:kern w:val="0"/>
          <w:sz w:val="24"/>
        </w:rPr>
        <w:t>在项目的研究过程中给予项目的实施提供了全方位的资源支撑，提供了良好的办公条件，先后投入科研配套经费10</w:t>
      </w:r>
      <w:r>
        <w:rPr>
          <w:rFonts w:ascii="楷体" w:hAnsi="楷体" w:eastAsia="楷体"/>
          <w:kern w:val="0"/>
          <w:sz w:val="24"/>
        </w:rPr>
        <w:t>万元，广西</w:t>
      </w:r>
      <w:r>
        <w:rPr>
          <w:rFonts w:hint="eastAsia" w:ascii="楷体" w:hAnsi="楷体" w:eastAsia="楷体"/>
          <w:kern w:val="0"/>
          <w:sz w:val="24"/>
        </w:rPr>
        <w:t>科学计算与模拟实验室为项目的顺利进行提供了人力和物力支持。</w:t>
      </w:r>
    </w:p>
    <w:p>
      <w:pPr>
        <w:autoSpaceDE w:val="0"/>
        <w:autoSpaceDN w:val="0"/>
        <w:adjustRightInd w:val="0"/>
        <w:spacing w:line="320" w:lineRule="exact"/>
        <w:ind w:left="630" w:leftChars="300"/>
        <w:jc w:val="left"/>
        <w:rPr>
          <w:kern w:val="0"/>
          <w:sz w:val="24"/>
        </w:rPr>
      </w:pPr>
    </w:p>
    <w:p>
      <w:pPr>
        <w:autoSpaceDE w:val="0"/>
        <w:autoSpaceDN w:val="0"/>
        <w:adjustRightInd w:val="0"/>
        <w:spacing w:line="440" w:lineRule="exact"/>
        <w:ind w:left="630" w:leftChars="300"/>
        <w:jc w:val="left"/>
        <w:rPr>
          <w:rFonts w:ascii="楷体" w:hAnsi="楷体" w:eastAsia="楷体"/>
          <w:kern w:val="0"/>
          <w:sz w:val="24"/>
        </w:rPr>
      </w:pPr>
      <w:r>
        <w:rPr>
          <w:rFonts w:hint="eastAsia" w:ascii="楷体" w:hAnsi="楷体" w:eastAsia="楷体"/>
          <w:b/>
          <w:bCs/>
          <w:kern w:val="0"/>
          <w:sz w:val="24"/>
        </w:rPr>
        <w:t>第二完成单位：</w:t>
      </w:r>
      <w:r>
        <w:rPr>
          <w:rFonts w:hint="eastAsia" w:ascii="楷体" w:hAnsi="楷体" w:eastAsia="楷体"/>
          <w:kern w:val="0"/>
          <w:sz w:val="24"/>
        </w:rPr>
        <w:t>中国科学院近代物理研究所</w:t>
      </w:r>
    </w:p>
    <w:p>
      <w:pPr>
        <w:autoSpaceDE w:val="0"/>
        <w:autoSpaceDN w:val="0"/>
        <w:adjustRightInd w:val="0"/>
        <w:spacing w:line="440" w:lineRule="exact"/>
        <w:ind w:left="630" w:leftChars="300" w:firstLine="482" w:firstLineChars="200"/>
        <w:rPr>
          <w:rFonts w:ascii="楷体" w:hAnsi="楷体" w:eastAsia="楷体"/>
          <w:kern w:val="0"/>
          <w:sz w:val="24"/>
        </w:rPr>
      </w:pPr>
      <w:r>
        <w:rPr>
          <w:rFonts w:hint="eastAsia" w:ascii="楷体" w:hAnsi="楷体" w:eastAsia="楷体"/>
          <w:b/>
          <w:bCs/>
          <w:kern w:val="0"/>
          <w:sz w:val="24"/>
        </w:rPr>
        <w:t>对项目主要贡献：</w:t>
      </w:r>
      <w:r>
        <w:rPr>
          <w:rFonts w:hint="eastAsia" w:ascii="楷体" w:hAnsi="楷体" w:eastAsia="楷体"/>
          <w:kern w:val="0"/>
          <w:sz w:val="24"/>
        </w:rPr>
        <w:t>为项目的实施提供了多方面的支持，包括为项目提供良好的办公条件和丰富的期刊数据库资源，为项目数值计算和科学分析提供了便利条件。</w:t>
      </w:r>
    </w:p>
    <w:p>
      <w:pPr>
        <w:autoSpaceDE w:val="0"/>
        <w:autoSpaceDN w:val="0"/>
        <w:adjustRightInd w:val="0"/>
        <w:spacing w:line="400" w:lineRule="exact"/>
        <w:jc w:val="left"/>
        <w:rPr>
          <w:kern w:val="0"/>
          <w:sz w:val="24"/>
        </w:rPr>
      </w:pPr>
    </w:p>
    <w:p>
      <w:pPr>
        <w:autoSpaceDE w:val="0"/>
        <w:autoSpaceDN w:val="0"/>
        <w:adjustRightInd w:val="0"/>
        <w:jc w:val="left"/>
        <w:rPr>
          <w:b/>
          <w:bCs/>
          <w:kern w:val="0"/>
          <w:sz w:val="28"/>
          <w:szCs w:val="28"/>
        </w:rPr>
      </w:pPr>
      <w:r>
        <w:rPr>
          <w:rFonts w:hint="eastAsia"/>
          <w:b/>
          <w:bCs/>
          <w:kern w:val="0"/>
          <w:sz w:val="28"/>
          <w:szCs w:val="28"/>
        </w:rPr>
        <w:t>六、代表性论文（专著）目录（包括：论文（专著）名称/刊名/作者）</w:t>
      </w:r>
    </w:p>
    <w:tbl>
      <w:tblPr>
        <w:tblStyle w:val="7"/>
        <w:tblW w:w="1020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760"/>
        <w:gridCol w:w="1480"/>
        <w:gridCol w:w="1276"/>
        <w:gridCol w:w="992"/>
        <w:gridCol w:w="851"/>
        <w:gridCol w:w="850"/>
        <w:gridCol w:w="851"/>
        <w:gridCol w:w="850"/>
        <w:gridCol w:w="1118"/>
        <w:gridCol w:w="117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4"/>
              <w:spacing w:line="240" w:lineRule="exact"/>
              <w:ind w:firstLine="0" w:firstLineChars="0"/>
              <w:jc w:val="center"/>
            </w:pPr>
            <w:r>
              <w:t>序号</w:t>
            </w:r>
          </w:p>
        </w:tc>
        <w:tc>
          <w:tcPr>
            <w:tcW w:w="1480" w:type="dxa"/>
            <w:vAlign w:val="center"/>
          </w:tcPr>
          <w:p>
            <w:pPr>
              <w:pStyle w:val="4"/>
              <w:spacing w:line="240" w:lineRule="exact"/>
              <w:ind w:firstLine="0" w:firstLineChars="0"/>
              <w:jc w:val="center"/>
            </w:pPr>
            <w:r>
              <w:t>论文</w:t>
            </w:r>
            <w:r>
              <w:rPr>
                <w:rFonts w:hint="eastAsia"/>
              </w:rPr>
              <w:t>（</w:t>
            </w:r>
            <w:r>
              <w:t>专著</w:t>
            </w:r>
            <w:r>
              <w:rPr>
                <w:rFonts w:hint="eastAsia"/>
              </w:rPr>
              <w:t>）</w:t>
            </w:r>
          </w:p>
          <w:p>
            <w:pPr>
              <w:pStyle w:val="4"/>
              <w:spacing w:line="240" w:lineRule="exact"/>
              <w:ind w:firstLine="0" w:firstLineChars="0"/>
              <w:jc w:val="center"/>
            </w:pPr>
            <w:r>
              <w:t>名称/刊名/作者</w:t>
            </w:r>
          </w:p>
        </w:tc>
        <w:tc>
          <w:tcPr>
            <w:tcW w:w="1276" w:type="dxa"/>
            <w:vAlign w:val="center"/>
          </w:tcPr>
          <w:p>
            <w:pPr>
              <w:pStyle w:val="4"/>
              <w:spacing w:line="240" w:lineRule="exact"/>
              <w:ind w:firstLine="0" w:firstLineChars="0"/>
              <w:jc w:val="center"/>
            </w:pPr>
            <w:r>
              <w:t>年卷页码</w:t>
            </w:r>
            <w:r>
              <w:rPr>
                <w:rFonts w:hint="eastAsia"/>
              </w:rPr>
              <w:t>（xx年xx卷xx页）</w:t>
            </w:r>
          </w:p>
        </w:tc>
        <w:tc>
          <w:tcPr>
            <w:tcW w:w="992" w:type="dxa"/>
            <w:vAlign w:val="center"/>
          </w:tcPr>
          <w:p>
            <w:pPr>
              <w:pStyle w:val="4"/>
              <w:spacing w:line="240" w:lineRule="exact"/>
              <w:ind w:firstLine="0" w:firstLineChars="0"/>
              <w:jc w:val="center"/>
            </w:pPr>
            <w:r>
              <w:t>发表</w:t>
            </w:r>
            <w:r>
              <w:rPr>
                <w:rFonts w:hint="eastAsia"/>
              </w:rPr>
              <w:t>（出版）</w:t>
            </w:r>
            <w:r>
              <w:t>时间</w:t>
            </w:r>
            <w:r>
              <w:rPr>
                <w:rFonts w:hint="eastAsia"/>
              </w:rPr>
              <w:t>（</w:t>
            </w:r>
            <w:r>
              <w:t>年月</w:t>
            </w:r>
            <w:r>
              <w:rPr>
                <w:rFonts w:hint="eastAsia"/>
              </w:rPr>
              <w:t>日）</w:t>
            </w:r>
          </w:p>
        </w:tc>
        <w:tc>
          <w:tcPr>
            <w:tcW w:w="851" w:type="dxa"/>
            <w:vAlign w:val="center"/>
          </w:tcPr>
          <w:p>
            <w:pPr>
              <w:pStyle w:val="4"/>
              <w:spacing w:line="240" w:lineRule="exact"/>
              <w:ind w:firstLine="0" w:firstLineChars="0"/>
              <w:jc w:val="center"/>
            </w:pPr>
            <w:r>
              <w:t>通讯作者</w:t>
            </w:r>
            <w:r>
              <w:rPr>
                <w:rFonts w:hint="eastAsia"/>
              </w:rPr>
              <w:t>（含共同）</w:t>
            </w:r>
          </w:p>
        </w:tc>
        <w:tc>
          <w:tcPr>
            <w:tcW w:w="850" w:type="dxa"/>
            <w:vAlign w:val="center"/>
          </w:tcPr>
          <w:p>
            <w:pPr>
              <w:pStyle w:val="4"/>
              <w:spacing w:line="240" w:lineRule="exact"/>
              <w:ind w:firstLine="0" w:firstLineChars="0"/>
              <w:jc w:val="center"/>
            </w:pPr>
            <w:r>
              <w:t>第一作者</w:t>
            </w:r>
            <w:r>
              <w:rPr>
                <w:rFonts w:hint="eastAsia"/>
              </w:rPr>
              <w:t>（</w:t>
            </w:r>
            <w:r>
              <w:t>含共同</w:t>
            </w:r>
            <w:r>
              <w:rPr>
                <w:rFonts w:hint="eastAsia"/>
              </w:rPr>
              <w:t>）</w:t>
            </w:r>
          </w:p>
        </w:tc>
        <w:tc>
          <w:tcPr>
            <w:tcW w:w="851" w:type="dxa"/>
            <w:vAlign w:val="center"/>
          </w:tcPr>
          <w:p>
            <w:pPr>
              <w:pStyle w:val="4"/>
              <w:spacing w:line="240" w:lineRule="exact"/>
              <w:ind w:firstLine="0" w:firstLineChars="0"/>
              <w:jc w:val="center"/>
            </w:pPr>
            <w:r>
              <w:rPr>
                <w:rFonts w:hint="eastAsia"/>
              </w:rPr>
              <w:t>国内作者</w:t>
            </w:r>
          </w:p>
        </w:tc>
        <w:tc>
          <w:tcPr>
            <w:tcW w:w="850" w:type="dxa"/>
            <w:vAlign w:val="center"/>
          </w:tcPr>
          <w:p>
            <w:pPr>
              <w:pStyle w:val="4"/>
              <w:spacing w:line="240" w:lineRule="exact"/>
              <w:ind w:firstLine="0" w:firstLineChars="0"/>
              <w:jc w:val="center"/>
            </w:pPr>
            <w:r>
              <w:rPr>
                <w:rFonts w:hint="eastAsia"/>
              </w:rPr>
              <w:t>他引总次数</w:t>
            </w:r>
          </w:p>
        </w:tc>
        <w:tc>
          <w:tcPr>
            <w:tcW w:w="1118" w:type="dxa"/>
            <w:vAlign w:val="center"/>
          </w:tcPr>
          <w:p>
            <w:pPr>
              <w:pStyle w:val="4"/>
              <w:spacing w:line="240" w:lineRule="exact"/>
              <w:ind w:firstLine="0" w:firstLineChars="0"/>
              <w:jc w:val="center"/>
            </w:pPr>
            <w:r>
              <w:rPr>
                <w:rFonts w:hint="eastAsia"/>
              </w:rPr>
              <w:t>检索数据库</w:t>
            </w:r>
          </w:p>
        </w:tc>
        <w:tc>
          <w:tcPr>
            <w:tcW w:w="1178" w:type="dxa"/>
            <w:vAlign w:val="center"/>
          </w:tcPr>
          <w:p>
            <w:pPr>
              <w:pStyle w:val="4"/>
              <w:spacing w:line="240" w:lineRule="exact"/>
              <w:ind w:firstLine="0" w:firstLineChars="0"/>
              <w:jc w:val="center"/>
            </w:pPr>
            <w:r>
              <w:t>论文署名单位是否包含国外单位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4"/>
              <w:spacing w:line="240" w:lineRule="exact"/>
              <w:ind w:firstLine="0" w:firstLineChars="0"/>
              <w:jc w:val="center"/>
            </w:pPr>
            <w:r>
              <w:t>1</w:t>
            </w:r>
          </w:p>
        </w:tc>
        <w:tc>
          <w:tcPr>
            <w:tcW w:w="1480" w:type="dxa"/>
            <w:vAlign w:val="center"/>
          </w:tcPr>
          <w:p>
            <w:pPr>
              <w:pStyle w:val="4"/>
              <w:spacing w:line="240" w:lineRule="exact"/>
              <w:ind w:firstLine="0" w:firstLineChars="0"/>
              <w:jc w:val="center"/>
              <w:rPr>
                <w:kern w:val="0"/>
              </w:rPr>
            </w:pPr>
            <w:r>
              <w:rPr>
                <w:kern w:val="0"/>
              </w:rPr>
              <w:t>Baryon states with open beauty in the extended local hidden gauge</w:t>
            </w:r>
            <w:r>
              <w:rPr>
                <w:rFonts w:hint="eastAsia"/>
                <w:kern w:val="0"/>
              </w:rPr>
              <w:t xml:space="preserve"> </w:t>
            </w:r>
            <w:r>
              <w:rPr>
                <w:kern w:val="0"/>
              </w:rPr>
              <w:t xml:space="preserve">approach, </w:t>
            </w:r>
          </w:p>
          <w:p>
            <w:pPr>
              <w:pStyle w:val="4"/>
              <w:spacing w:line="240" w:lineRule="exact"/>
              <w:ind w:firstLine="0" w:firstLineChars="0"/>
              <w:jc w:val="center"/>
            </w:pPr>
            <w:r>
              <w:rPr>
                <w:rFonts w:hint="eastAsia"/>
              </w:rPr>
              <w:t>Physical Review D</w:t>
            </w:r>
            <w:r>
              <w:t xml:space="preserve">, </w:t>
            </w:r>
          </w:p>
          <w:p>
            <w:pPr>
              <w:pStyle w:val="4"/>
              <w:spacing w:line="240" w:lineRule="exact"/>
              <w:ind w:firstLine="0" w:firstLineChars="0"/>
              <w:jc w:val="center"/>
            </w:pPr>
            <w:r>
              <w:rPr>
                <w:b/>
                <w:kern w:val="0"/>
              </w:rPr>
              <w:t>W</w:t>
            </w:r>
            <w:r>
              <w:rPr>
                <w:rFonts w:hint="eastAsia"/>
                <w:b/>
                <w:kern w:val="0"/>
              </w:rPr>
              <w:t>.</w:t>
            </w:r>
            <w:r>
              <w:rPr>
                <w:b/>
                <w:kern w:val="0"/>
              </w:rPr>
              <w:t xml:space="preserve"> H</w:t>
            </w:r>
            <w:r>
              <w:rPr>
                <w:rFonts w:hint="eastAsia"/>
                <w:b/>
                <w:kern w:val="0"/>
              </w:rPr>
              <w:t xml:space="preserve">. </w:t>
            </w:r>
            <w:r>
              <w:rPr>
                <w:b/>
                <w:kern w:val="0"/>
              </w:rPr>
              <w:t>Liang</w:t>
            </w:r>
            <w:r>
              <w:rPr>
                <w:kern w:val="0"/>
              </w:rPr>
              <w:t>，C. W. Xiao，E. Oset</w:t>
            </w:r>
          </w:p>
          <w:p>
            <w:pPr>
              <w:pStyle w:val="4"/>
              <w:spacing w:line="240" w:lineRule="exact"/>
              <w:ind w:firstLine="0" w:firstLineChars="0"/>
              <w:jc w:val="center"/>
            </w:pPr>
          </w:p>
        </w:tc>
        <w:tc>
          <w:tcPr>
            <w:tcW w:w="1276" w:type="dxa"/>
            <w:vAlign w:val="center"/>
          </w:tcPr>
          <w:p>
            <w:pPr>
              <w:pStyle w:val="4"/>
              <w:spacing w:line="240" w:lineRule="exact"/>
              <w:ind w:firstLine="0" w:firstLineChars="0"/>
              <w:jc w:val="center"/>
            </w:pPr>
            <w:r>
              <w:rPr>
                <w:rFonts w:hint="eastAsia"/>
              </w:rPr>
              <w:t>2</w:t>
            </w:r>
            <w:r>
              <w:t>014</w:t>
            </w:r>
            <w:r>
              <w:rPr>
                <w:rFonts w:hint="eastAsia"/>
              </w:rPr>
              <w:t>年89卷</w:t>
            </w:r>
            <w:r>
              <w:rPr>
                <w:kern w:val="0"/>
              </w:rPr>
              <w:t>054023</w:t>
            </w:r>
            <w:r>
              <w:rPr>
                <w:rFonts w:hint="eastAsia"/>
                <w:kern w:val="0"/>
              </w:rPr>
              <w:t>页</w:t>
            </w:r>
          </w:p>
        </w:tc>
        <w:tc>
          <w:tcPr>
            <w:tcW w:w="992" w:type="dxa"/>
            <w:vAlign w:val="center"/>
          </w:tcPr>
          <w:p>
            <w:pPr>
              <w:pStyle w:val="4"/>
              <w:spacing w:line="240" w:lineRule="exact"/>
              <w:ind w:firstLine="0" w:firstLineChars="0"/>
              <w:jc w:val="center"/>
            </w:pPr>
            <w:r>
              <w:rPr>
                <w:rFonts w:hint="eastAsia"/>
              </w:rPr>
              <w:t>2014年3月19日</w:t>
            </w:r>
          </w:p>
        </w:tc>
        <w:tc>
          <w:tcPr>
            <w:tcW w:w="851" w:type="dxa"/>
            <w:vAlign w:val="center"/>
          </w:tcPr>
          <w:p>
            <w:pPr>
              <w:pStyle w:val="4"/>
              <w:spacing w:line="240" w:lineRule="exact"/>
              <w:ind w:firstLine="0" w:firstLineChars="0"/>
              <w:jc w:val="center"/>
              <w:rPr>
                <w:bCs w:val="0"/>
              </w:rPr>
            </w:pPr>
            <w:r>
              <w:rPr>
                <w:bCs w:val="0"/>
                <w:kern w:val="0"/>
              </w:rPr>
              <w:t>W</w:t>
            </w:r>
            <w:r>
              <w:rPr>
                <w:rFonts w:hint="eastAsia"/>
                <w:bCs w:val="0"/>
                <w:kern w:val="0"/>
              </w:rPr>
              <w:t>.</w:t>
            </w:r>
            <w:r>
              <w:rPr>
                <w:bCs w:val="0"/>
                <w:kern w:val="0"/>
              </w:rPr>
              <w:t xml:space="preserve"> H</w:t>
            </w:r>
            <w:r>
              <w:rPr>
                <w:rFonts w:hint="eastAsia"/>
                <w:bCs w:val="0"/>
                <w:kern w:val="0"/>
              </w:rPr>
              <w:t xml:space="preserve">. </w:t>
            </w:r>
            <w:r>
              <w:rPr>
                <w:bCs w:val="0"/>
                <w:kern w:val="0"/>
              </w:rPr>
              <w:t>Liang</w:t>
            </w:r>
          </w:p>
        </w:tc>
        <w:tc>
          <w:tcPr>
            <w:tcW w:w="850" w:type="dxa"/>
            <w:vAlign w:val="center"/>
          </w:tcPr>
          <w:p>
            <w:pPr>
              <w:pStyle w:val="4"/>
              <w:spacing w:line="240" w:lineRule="exact"/>
              <w:ind w:firstLine="0" w:firstLineChars="0"/>
              <w:jc w:val="center"/>
              <w:rPr>
                <w:bCs w:val="0"/>
              </w:rPr>
            </w:pPr>
            <w:r>
              <w:rPr>
                <w:bCs w:val="0"/>
                <w:kern w:val="0"/>
              </w:rPr>
              <w:t>W</w:t>
            </w:r>
            <w:r>
              <w:rPr>
                <w:rFonts w:hint="eastAsia"/>
                <w:bCs w:val="0"/>
                <w:kern w:val="0"/>
              </w:rPr>
              <w:t>.</w:t>
            </w:r>
            <w:r>
              <w:rPr>
                <w:bCs w:val="0"/>
                <w:kern w:val="0"/>
              </w:rPr>
              <w:t xml:space="preserve"> H</w:t>
            </w:r>
            <w:r>
              <w:rPr>
                <w:rFonts w:hint="eastAsia"/>
                <w:bCs w:val="0"/>
                <w:kern w:val="0"/>
              </w:rPr>
              <w:t xml:space="preserve">. </w:t>
            </w:r>
            <w:r>
              <w:rPr>
                <w:bCs w:val="0"/>
                <w:kern w:val="0"/>
              </w:rPr>
              <w:t>Liang</w:t>
            </w:r>
          </w:p>
        </w:tc>
        <w:tc>
          <w:tcPr>
            <w:tcW w:w="851" w:type="dxa"/>
            <w:vAlign w:val="center"/>
          </w:tcPr>
          <w:p>
            <w:pPr>
              <w:pStyle w:val="4"/>
              <w:spacing w:line="240" w:lineRule="exact"/>
              <w:ind w:firstLine="0" w:firstLineChars="0"/>
              <w:jc w:val="center"/>
            </w:pPr>
            <w:r>
              <w:rPr>
                <w:rFonts w:hint="eastAsia"/>
              </w:rPr>
              <w:t>梁伟红</w:t>
            </w:r>
          </w:p>
        </w:tc>
        <w:tc>
          <w:tcPr>
            <w:tcW w:w="850" w:type="dxa"/>
            <w:vAlign w:val="center"/>
          </w:tcPr>
          <w:p>
            <w:pPr>
              <w:pStyle w:val="4"/>
              <w:spacing w:line="240" w:lineRule="exact"/>
              <w:ind w:firstLine="0" w:firstLineChars="0"/>
              <w:jc w:val="center"/>
            </w:pPr>
            <w:r>
              <w:rPr>
                <w:rFonts w:hint="eastAsia"/>
              </w:rPr>
              <w:t>21</w:t>
            </w:r>
          </w:p>
        </w:tc>
        <w:tc>
          <w:tcPr>
            <w:tcW w:w="1118" w:type="dxa"/>
            <w:vAlign w:val="center"/>
          </w:tcPr>
          <w:p>
            <w:pPr>
              <w:pStyle w:val="4"/>
              <w:spacing w:line="240" w:lineRule="exact"/>
              <w:ind w:firstLine="0" w:firstLineChars="0"/>
              <w:jc w:val="center"/>
              <w:rPr>
                <w:color w:val="000000"/>
                <w:sz w:val="24"/>
                <w:szCs w:val="24"/>
              </w:rPr>
            </w:pPr>
            <w:r>
              <w:rPr>
                <w:color w:val="000000"/>
                <w:sz w:val="24"/>
                <w:szCs w:val="24"/>
              </w:rPr>
              <w:t>SCI-EXPANDED</w:t>
            </w:r>
            <w:r>
              <w:rPr>
                <w:rFonts w:hint="eastAsia"/>
                <w:color w:val="000000"/>
                <w:sz w:val="24"/>
                <w:szCs w:val="24"/>
              </w:rPr>
              <w:t>，</w:t>
            </w:r>
          </w:p>
          <w:p>
            <w:pPr>
              <w:pStyle w:val="4"/>
              <w:spacing w:line="240" w:lineRule="exact"/>
              <w:ind w:firstLine="0" w:firstLineChars="0"/>
              <w:jc w:val="center"/>
              <w:rPr>
                <w:color w:val="000000"/>
                <w:sz w:val="24"/>
                <w:szCs w:val="24"/>
              </w:rPr>
            </w:pPr>
          </w:p>
          <w:p>
            <w:pPr>
              <w:pStyle w:val="4"/>
              <w:spacing w:line="240" w:lineRule="exact"/>
              <w:ind w:firstLine="0" w:firstLineChars="0"/>
              <w:jc w:val="center"/>
              <w:rPr>
                <w:sz w:val="24"/>
                <w:szCs w:val="24"/>
              </w:rPr>
            </w:pPr>
            <w:r>
              <w:rPr>
                <w:sz w:val="24"/>
                <w:szCs w:val="24"/>
              </w:rPr>
              <w:t>CSCD</w:t>
            </w:r>
            <w:r>
              <w:rPr>
                <w:rFonts w:hint="eastAsia"/>
                <w:sz w:val="24"/>
                <w:szCs w:val="24"/>
              </w:rPr>
              <w:t>，</w:t>
            </w:r>
          </w:p>
          <w:p>
            <w:pPr>
              <w:pStyle w:val="4"/>
              <w:spacing w:line="240" w:lineRule="exact"/>
              <w:ind w:firstLine="0" w:firstLineChars="0"/>
              <w:jc w:val="center"/>
            </w:pPr>
          </w:p>
          <w:p>
            <w:pPr>
              <w:pStyle w:val="4"/>
              <w:spacing w:line="240" w:lineRule="exact"/>
              <w:ind w:firstLine="0" w:firstLineChars="0"/>
              <w:jc w:val="center"/>
            </w:pPr>
            <w:r>
              <w:rPr>
                <w:sz w:val="24"/>
                <w:szCs w:val="24"/>
              </w:rPr>
              <w:t>C</w:t>
            </w:r>
            <w:r>
              <w:rPr>
                <w:rFonts w:hint="eastAsia"/>
                <w:sz w:val="24"/>
                <w:szCs w:val="24"/>
              </w:rPr>
              <w:t>NKI</w:t>
            </w:r>
          </w:p>
        </w:tc>
        <w:tc>
          <w:tcPr>
            <w:tcW w:w="1178" w:type="dxa"/>
            <w:vAlign w:val="center"/>
          </w:tcPr>
          <w:p>
            <w:pPr>
              <w:pStyle w:val="4"/>
              <w:spacing w:line="240" w:lineRule="exact"/>
              <w:ind w:firstLine="0" w:firstLineChars="0"/>
              <w:jc w:val="center"/>
            </w:pPr>
            <w:r>
              <w:rPr>
                <w:rFonts w:hint="eastAsia"/>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4"/>
              <w:spacing w:line="240" w:lineRule="exact"/>
              <w:ind w:firstLine="0" w:firstLineChars="0"/>
              <w:jc w:val="center"/>
            </w:pPr>
            <w:r>
              <w:t>2</w:t>
            </w:r>
          </w:p>
        </w:tc>
        <w:tc>
          <w:tcPr>
            <w:tcW w:w="1480" w:type="dxa"/>
            <w:vAlign w:val="center"/>
          </w:tcPr>
          <w:p>
            <w:pPr>
              <w:pStyle w:val="4"/>
              <w:spacing w:line="240" w:lineRule="exact"/>
              <w:ind w:firstLine="0" w:firstLineChars="0"/>
              <w:jc w:val="center"/>
              <w:rPr>
                <w:kern w:val="0"/>
              </w:rPr>
            </w:pPr>
            <w:r>
              <w:rPr>
                <w:kern w:val="0"/>
              </w:rPr>
              <w:t>Baryon states with open charm in the extended local</w:t>
            </w:r>
            <w:r>
              <w:rPr>
                <w:rFonts w:hint="eastAsia"/>
                <w:kern w:val="0"/>
              </w:rPr>
              <w:t xml:space="preserve"> </w:t>
            </w:r>
            <w:r>
              <w:rPr>
                <w:kern w:val="0"/>
              </w:rPr>
              <w:t>hidden gauge approach</w:t>
            </w:r>
            <w:r>
              <w:rPr>
                <w:rFonts w:hint="eastAsia"/>
                <w:kern w:val="0"/>
              </w:rPr>
              <w:t>,</w:t>
            </w:r>
          </w:p>
          <w:p>
            <w:pPr>
              <w:pStyle w:val="4"/>
              <w:spacing w:line="240" w:lineRule="exact"/>
              <w:ind w:firstLine="0" w:firstLineChars="0"/>
              <w:jc w:val="center"/>
              <w:rPr>
                <w:color w:val="000000"/>
                <w:shd w:val="clear" w:color="auto" w:fill="FFFFFF"/>
              </w:rPr>
            </w:pPr>
            <w:r>
              <w:rPr>
                <w:spacing w:val="5"/>
              </w:rPr>
              <w:t>The European Physical Journal</w:t>
            </w:r>
            <w:r>
              <w:rPr>
                <w:rFonts w:hint="eastAsia"/>
                <w:spacing w:val="5"/>
              </w:rPr>
              <w:t xml:space="preserve"> </w:t>
            </w:r>
            <w:r>
              <w:rPr>
                <w:color w:val="000000"/>
                <w:shd w:val="clear" w:color="auto" w:fill="FFFFFF"/>
              </w:rPr>
              <w:t>A,</w:t>
            </w:r>
          </w:p>
          <w:p>
            <w:pPr>
              <w:pStyle w:val="4"/>
              <w:spacing w:line="240" w:lineRule="exact"/>
              <w:ind w:firstLine="0" w:firstLineChars="0"/>
              <w:jc w:val="center"/>
            </w:pPr>
            <w:r>
              <w:rPr>
                <w:b/>
                <w:kern w:val="0"/>
              </w:rPr>
              <w:t>W.H. Liang</w:t>
            </w:r>
            <w:r>
              <w:rPr>
                <w:kern w:val="0"/>
              </w:rPr>
              <w:t>，T. Uchino，C. W. Xiao，E. Oset</w:t>
            </w:r>
          </w:p>
        </w:tc>
        <w:tc>
          <w:tcPr>
            <w:tcW w:w="1276" w:type="dxa"/>
            <w:vAlign w:val="center"/>
          </w:tcPr>
          <w:p>
            <w:pPr>
              <w:pStyle w:val="4"/>
              <w:spacing w:line="240" w:lineRule="exact"/>
              <w:ind w:firstLine="0" w:firstLineChars="0"/>
              <w:jc w:val="center"/>
            </w:pPr>
            <w:r>
              <w:rPr>
                <w:rFonts w:hint="eastAsia"/>
              </w:rPr>
              <w:t>2</w:t>
            </w:r>
            <w:r>
              <w:t>015</w:t>
            </w:r>
            <w:r>
              <w:rPr>
                <w:rFonts w:hint="eastAsia"/>
              </w:rPr>
              <w:t>年51卷16页</w:t>
            </w:r>
          </w:p>
        </w:tc>
        <w:tc>
          <w:tcPr>
            <w:tcW w:w="992" w:type="dxa"/>
            <w:vAlign w:val="center"/>
          </w:tcPr>
          <w:p>
            <w:pPr>
              <w:pStyle w:val="4"/>
              <w:spacing w:line="240" w:lineRule="exact"/>
              <w:ind w:firstLine="0" w:firstLineChars="0"/>
              <w:jc w:val="center"/>
            </w:pPr>
            <w:r>
              <w:rPr>
                <w:rFonts w:hint="eastAsia"/>
              </w:rPr>
              <w:t>2015年2月11日</w:t>
            </w:r>
          </w:p>
        </w:tc>
        <w:tc>
          <w:tcPr>
            <w:tcW w:w="851" w:type="dxa"/>
            <w:vAlign w:val="center"/>
          </w:tcPr>
          <w:p>
            <w:pPr>
              <w:pStyle w:val="4"/>
              <w:spacing w:line="240" w:lineRule="exact"/>
              <w:ind w:firstLine="0" w:firstLineChars="0"/>
              <w:jc w:val="center"/>
              <w:rPr>
                <w:bCs w:val="0"/>
              </w:rPr>
            </w:pPr>
            <w:r>
              <w:rPr>
                <w:bCs w:val="0"/>
                <w:kern w:val="0"/>
              </w:rPr>
              <w:t>W.H. Liang</w:t>
            </w:r>
          </w:p>
        </w:tc>
        <w:tc>
          <w:tcPr>
            <w:tcW w:w="850" w:type="dxa"/>
            <w:vAlign w:val="center"/>
          </w:tcPr>
          <w:p>
            <w:pPr>
              <w:pStyle w:val="4"/>
              <w:spacing w:line="240" w:lineRule="exact"/>
              <w:ind w:firstLine="0" w:firstLineChars="0"/>
              <w:jc w:val="center"/>
              <w:rPr>
                <w:bCs w:val="0"/>
              </w:rPr>
            </w:pPr>
            <w:r>
              <w:rPr>
                <w:bCs w:val="0"/>
                <w:kern w:val="0"/>
              </w:rPr>
              <w:t>W.H. Liang</w:t>
            </w:r>
          </w:p>
        </w:tc>
        <w:tc>
          <w:tcPr>
            <w:tcW w:w="851" w:type="dxa"/>
            <w:vAlign w:val="center"/>
          </w:tcPr>
          <w:p>
            <w:pPr>
              <w:pStyle w:val="4"/>
              <w:spacing w:line="240" w:lineRule="exact"/>
              <w:ind w:firstLine="0" w:firstLineChars="0"/>
              <w:jc w:val="center"/>
            </w:pPr>
            <w:r>
              <w:rPr>
                <w:rFonts w:hint="eastAsia"/>
              </w:rPr>
              <w:t>梁伟红</w:t>
            </w:r>
          </w:p>
        </w:tc>
        <w:tc>
          <w:tcPr>
            <w:tcW w:w="850" w:type="dxa"/>
            <w:vAlign w:val="center"/>
          </w:tcPr>
          <w:p>
            <w:pPr>
              <w:pStyle w:val="4"/>
              <w:spacing w:line="240" w:lineRule="exact"/>
              <w:ind w:firstLine="0" w:firstLineChars="0"/>
              <w:jc w:val="center"/>
            </w:pPr>
            <w:r>
              <w:rPr>
                <w:rFonts w:hint="eastAsia"/>
              </w:rPr>
              <w:t>17</w:t>
            </w:r>
          </w:p>
        </w:tc>
        <w:tc>
          <w:tcPr>
            <w:tcW w:w="1118" w:type="dxa"/>
            <w:vAlign w:val="center"/>
          </w:tcPr>
          <w:p>
            <w:pPr>
              <w:pStyle w:val="4"/>
              <w:spacing w:line="240" w:lineRule="exact"/>
              <w:ind w:firstLine="0" w:firstLineChars="0"/>
              <w:jc w:val="center"/>
              <w:rPr>
                <w:color w:val="000000"/>
                <w:sz w:val="24"/>
                <w:szCs w:val="24"/>
              </w:rPr>
            </w:pPr>
            <w:r>
              <w:rPr>
                <w:color w:val="000000"/>
                <w:sz w:val="24"/>
                <w:szCs w:val="24"/>
              </w:rPr>
              <w:t>SCI-EXPANDED</w:t>
            </w:r>
            <w:r>
              <w:rPr>
                <w:rFonts w:hint="eastAsia"/>
                <w:color w:val="000000"/>
                <w:sz w:val="24"/>
                <w:szCs w:val="24"/>
              </w:rPr>
              <w:t>，</w:t>
            </w:r>
          </w:p>
          <w:p>
            <w:pPr>
              <w:pStyle w:val="4"/>
              <w:spacing w:line="240" w:lineRule="exact"/>
              <w:ind w:firstLine="0" w:firstLineChars="0"/>
              <w:jc w:val="center"/>
              <w:rPr>
                <w:color w:val="000000"/>
                <w:sz w:val="24"/>
                <w:szCs w:val="24"/>
              </w:rPr>
            </w:pPr>
          </w:p>
          <w:p>
            <w:pPr>
              <w:pStyle w:val="4"/>
              <w:spacing w:line="240" w:lineRule="exact"/>
              <w:ind w:firstLine="0" w:firstLineChars="0"/>
              <w:jc w:val="center"/>
              <w:rPr>
                <w:sz w:val="24"/>
                <w:szCs w:val="24"/>
              </w:rPr>
            </w:pPr>
            <w:r>
              <w:rPr>
                <w:sz w:val="24"/>
                <w:szCs w:val="24"/>
              </w:rPr>
              <w:t>CSCD</w:t>
            </w:r>
            <w:r>
              <w:rPr>
                <w:rFonts w:hint="eastAsia"/>
                <w:sz w:val="24"/>
                <w:szCs w:val="24"/>
              </w:rPr>
              <w:t>，</w:t>
            </w:r>
          </w:p>
          <w:p>
            <w:pPr>
              <w:pStyle w:val="4"/>
              <w:spacing w:line="240" w:lineRule="exact"/>
              <w:ind w:firstLine="0" w:firstLineChars="0"/>
              <w:jc w:val="center"/>
            </w:pPr>
          </w:p>
          <w:p>
            <w:pPr>
              <w:pStyle w:val="4"/>
              <w:spacing w:line="240" w:lineRule="exact"/>
              <w:ind w:firstLine="0" w:firstLineChars="0"/>
              <w:jc w:val="center"/>
            </w:pPr>
            <w:r>
              <w:rPr>
                <w:sz w:val="24"/>
                <w:szCs w:val="24"/>
              </w:rPr>
              <w:t>C</w:t>
            </w:r>
            <w:r>
              <w:rPr>
                <w:rFonts w:hint="eastAsia"/>
                <w:sz w:val="24"/>
                <w:szCs w:val="24"/>
              </w:rPr>
              <w:t>NKI</w:t>
            </w:r>
          </w:p>
        </w:tc>
        <w:tc>
          <w:tcPr>
            <w:tcW w:w="1178" w:type="dxa"/>
            <w:vAlign w:val="center"/>
          </w:tcPr>
          <w:p>
            <w:pPr>
              <w:pStyle w:val="4"/>
              <w:spacing w:line="240" w:lineRule="exact"/>
              <w:ind w:firstLine="0" w:firstLineChars="0"/>
              <w:jc w:val="center"/>
            </w:pPr>
            <w:r>
              <w:rPr>
                <w:rFonts w:hint="eastAsia"/>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4"/>
              <w:spacing w:line="240" w:lineRule="exact"/>
              <w:ind w:firstLine="0" w:firstLineChars="0"/>
              <w:jc w:val="center"/>
            </w:pPr>
            <w:r>
              <w:t>3</w:t>
            </w:r>
          </w:p>
        </w:tc>
        <w:tc>
          <w:tcPr>
            <w:tcW w:w="1480" w:type="dxa"/>
            <w:vAlign w:val="center"/>
          </w:tcPr>
          <w:p>
            <w:pPr>
              <w:pStyle w:val="4"/>
              <w:spacing w:line="240" w:lineRule="exact"/>
              <w:ind w:firstLine="0" w:firstLineChars="0"/>
              <w:jc w:val="center"/>
              <w:rPr>
                <w:kern w:val="0"/>
              </w:rPr>
            </w:pPr>
            <w:r>
              <w:rPr>
                <w:kern w:val="0"/>
              </w:rPr>
              <w:t>B0 and Bs0 decays into Jpsi f0(980) and Jpsi f0(500) and the nature of</w:t>
            </w:r>
            <w:r>
              <w:rPr>
                <w:rFonts w:hint="eastAsia"/>
                <w:kern w:val="0"/>
              </w:rPr>
              <w:t xml:space="preserve"> </w:t>
            </w:r>
            <w:r>
              <w:rPr>
                <w:kern w:val="0"/>
              </w:rPr>
              <w:t>the scalar resonances</w:t>
            </w:r>
            <w:r>
              <w:rPr>
                <w:rFonts w:hint="eastAsia"/>
                <w:kern w:val="0"/>
              </w:rPr>
              <w:t>,</w:t>
            </w:r>
          </w:p>
          <w:p>
            <w:pPr>
              <w:pStyle w:val="4"/>
              <w:spacing w:line="240" w:lineRule="exact"/>
              <w:ind w:firstLine="0" w:firstLineChars="0"/>
              <w:jc w:val="center"/>
              <w:rPr>
                <w:color w:val="000000"/>
                <w:shd w:val="clear" w:color="auto" w:fill="FFFFFF"/>
              </w:rPr>
            </w:pPr>
            <w:r>
              <w:rPr>
                <w:color w:val="000000"/>
                <w:shd w:val="clear" w:color="auto" w:fill="FFFFFF"/>
              </w:rPr>
              <w:t>Phys</w:t>
            </w:r>
            <w:r>
              <w:rPr>
                <w:rFonts w:hint="eastAsia"/>
                <w:color w:val="000000"/>
                <w:shd w:val="clear" w:color="auto" w:fill="FFFFFF"/>
              </w:rPr>
              <w:t>ics</w:t>
            </w:r>
            <w:r>
              <w:rPr>
                <w:color w:val="000000"/>
                <w:shd w:val="clear" w:color="auto" w:fill="FFFFFF"/>
              </w:rPr>
              <w:t xml:space="preserve"> Lett</w:t>
            </w:r>
            <w:r>
              <w:rPr>
                <w:rFonts w:hint="eastAsia"/>
                <w:color w:val="000000"/>
                <w:shd w:val="clear" w:color="auto" w:fill="FFFFFF"/>
              </w:rPr>
              <w:t>ers</w:t>
            </w:r>
            <w:r>
              <w:rPr>
                <w:color w:val="000000"/>
                <w:shd w:val="clear" w:color="auto" w:fill="FFFFFF"/>
              </w:rPr>
              <w:t xml:space="preserve"> B,</w:t>
            </w:r>
          </w:p>
          <w:p>
            <w:pPr>
              <w:pStyle w:val="4"/>
              <w:spacing w:line="240" w:lineRule="exact"/>
              <w:ind w:firstLine="0" w:firstLineChars="0"/>
              <w:jc w:val="center"/>
            </w:pPr>
            <w:r>
              <w:rPr>
                <w:b/>
                <w:kern w:val="0"/>
              </w:rPr>
              <w:t>W. H. Liang</w:t>
            </w:r>
            <w:r>
              <w:rPr>
                <w:kern w:val="0"/>
              </w:rPr>
              <w:t>，E. Oset</w:t>
            </w:r>
          </w:p>
        </w:tc>
        <w:tc>
          <w:tcPr>
            <w:tcW w:w="1276" w:type="dxa"/>
            <w:vAlign w:val="center"/>
          </w:tcPr>
          <w:p>
            <w:pPr>
              <w:pStyle w:val="4"/>
              <w:spacing w:line="240" w:lineRule="exact"/>
              <w:ind w:firstLine="0" w:firstLineChars="0"/>
              <w:jc w:val="center"/>
            </w:pPr>
            <w:r>
              <w:rPr>
                <w:rFonts w:hint="eastAsia"/>
              </w:rPr>
              <w:t>2</w:t>
            </w:r>
            <w:r>
              <w:t>014</w:t>
            </w:r>
            <w:r>
              <w:rPr>
                <w:rFonts w:hint="eastAsia"/>
              </w:rPr>
              <w:t>年7</w:t>
            </w:r>
            <w:r>
              <w:t>37</w:t>
            </w:r>
            <w:r>
              <w:rPr>
                <w:rFonts w:hint="eastAsia"/>
              </w:rPr>
              <w:t>卷7</w:t>
            </w:r>
            <w:r>
              <w:t>0</w:t>
            </w:r>
            <w:r>
              <w:rPr>
                <w:rFonts w:hint="eastAsia"/>
              </w:rPr>
              <w:t>页</w:t>
            </w:r>
          </w:p>
        </w:tc>
        <w:tc>
          <w:tcPr>
            <w:tcW w:w="992" w:type="dxa"/>
            <w:vAlign w:val="center"/>
          </w:tcPr>
          <w:p>
            <w:pPr>
              <w:pStyle w:val="4"/>
              <w:spacing w:line="240" w:lineRule="exact"/>
              <w:ind w:firstLine="0" w:firstLineChars="0"/>
              <w:jc w:val="center"/>
            </w:pPr>
            <w:r>
              <w:rPr>
                <w:rFonts w:hint="eastAsia"/>
              </w:rPr>
              <w:t>2</w:t>
            </w:r>
            <w:r>
              <w:t>014</w:t>
            </w:r>
            <w:r>
              <w:rPr>
                <w:rFonts w:hint="eastAsia"/>
              </w:rPr>
              <w:t>年8月15日</w:t>
            </w:r>
          </w:p>
        </w:tc>
        <w:tc>
          <w:tcPr>
            <w:tcW w:w="851" w:type="dxa"/>
            <w:vAlign w:val="center"/>
          </w:tcPr>
          <w:p>
            <w:pPr>
              <w:pStyle w:val="4"/>
              <w:spacing w:line="240" w:lineRule="exact"/>
              <w:ind w:firstLine="0" w:firstLineChars="0"/>
              <w:jc w:val="center"/>
              <w:rPr>
                <w:bCs w:val="0"/>
              </w:rPr>
            </w:pPr>
            <w:r>
              <w:rPr>
                <w:bCs w:val="0"/>
                <w:kern w:val="0"/>
              </w:rPr>
              <w:t>W. H. Liang</w:t>
            </w:r>
          </w:p>
        </w:tc>
        <w:tc>
          <w:tcPr>
            <w:tcW w:w="850" w:type="dxa"/>
            <w:vAlign w:val="center"/>
          </w:tcPr>
          <w:p>
            <w:pPr>
              <w:pStyle w:val="4"/>
              <w:spacing w:line="240" w:lineRule="exact"/>
              <w:ind w:firstLine="0" w:firstLineChars="0"/>
              <w:jc w:val="center"/>
              <w:rPr>
                <w:bCs w:val="0"/>
              </w:rPr>
            </w:pPr>
            <w:r>
              <w:rPr>
                <w:bCs w:val="0"/>
                <w:kern w:val="0"/>
              </w:rPr>
              <w:t>W. H. Liang</w:t>
            </w:r>
          </w:p>
        </w:tc>
        <w:tc>
          <w:tcPr>
            <w:tcW w:w="851" w:type="dxa"/>
            <w:vAlign w:val="center"/>
          </w:tcPr>
          <w:p>
            <w:pPr>
              <w:pStyle w:val="4"/>
              <w:spacing w:line="240" w:lineRule="exact"/>
              <w:ind w:firstLine="0" w:firstLineChars="0"/>
              <w:jc w:val="center"/>
            </w:pPr>
            <w:r>
              <w:rPr>
                <w:rFonts w:hint="eastAsia"/>
              </w:rPr>
              <w:t>梁伟红</w:t>
            </w:r>
          </w:p>
        </w:tc>
        <w:tc>
          <w:tcPr>
            <w:tcW w:w="850" w:type="dxa"/>
            <w:vAlign w:val="center"/>
          </w:tcPr>
          <w:p>
            <w:pPr>
              <w:pStyle w:val="4"/>
              <w:spacing w:line="240" w:lineRule="exact"/>
              <w:ind w:firstLine="0" w:firstLineChars="0"/>
              <w:jc w:val="center"/>
              <w:rPr>
                <w:color w:val="FF0000"/>
              </w:rPr>
            </w:pPr>
            <w:r>
              <w:rPr>
                <w:rFonts w:hint="eastAsia"/>
              </w:rPr>
              <w:t>12</w:t>
            </w:r>
          </w:p>
        </w:tc>
        <w:tc>
          <w:tcPr>
            <w:tcW w:w="1118" w:type="dxa"/>
            <w:vAlign w:val="center"/>
          </w:tcPr>
          <w:p>
            <w:pPr>
              <w:pStyle w:val="4"/>
              <w:spacing w:line="240" w:lineRule="exact"/>
              <w:ind w:firstLine="0" w:firstLineChars="0"/>
              <w:jc w:val="center"/>
              <w:rPr>
                <w:color w:val="000000"/>
                <w:sz w:val="24"/>
                <w:szCs w:val="24"/>
              </w:rPr>
            </w:pPr>
            <w:r>
              <w:rPr>
                <w:color w:val="000000"/>
                <w:sz w:val="24"/>
                <w:szCs w:val="24"/>
              </w:rPr>
              <w:t>SCI-EXPANDED</w:t>
            </w:r>
            <w:r>
              <w:rPr>
                <w:rFonts w:hint="eastAsia"/>
                <w:color w:val="000000"/>
                <w:sz w:val="24"/>
                <w:szCs w:val="24"/>
              </w:rPr>
              <w:t>，</w:t>
            </w:r>
          </w:p>
          <w:p>
            <w:pPr>
              <w:pStyle w:val="4"/>
              <w:spacing w:line="240" w:lineRule="exact"/>
              <w:ind w:firstLine="0" w:firstLineChars="0"/>
              <w:jc w:val="center"/>
              <w:rPr>
                <w:color w:val="000000"/>
                <w:sz w:val="24"/>
                <w:szCs w:val="24"/>
              </w:rPr>
            </w:pPr>
          </w:p>
          <w:p>
            <w:pPr>
              <w:pStyle w:val="4"/>
              <w:spacing w:line="240" w:lineRule="exact"/>
              <w:ind w:firstLine="0" w:firstLineChars="0"/>
              <w:jc w:val="center"/>
              <w:rPr>
                <w:sz w:val="24"/>
                <w:szCs w:val="24"/>
              </w:rPr>
            </w:pPr>
            <w:r>
              <w:rPr>
                <w:sz w:val="24"/>
                <w:szCs w:val="24"/>
              </w:rPr>
              <w:t>CSCD</w:t>
            </w:r>
            <w:r>
              <w:rPr>
                <w:rFonts w:hint="eastAsia"/>
                <w:sz w:val="24"/>
                <w:szCs w:val="24"/>
              </w:rPr>
              <w:t>，</w:t>
            </w:r>
          </w:p>
          <w:p>
            <w:pPr>
              <w:pStyle w:val="4"/>
              <w:spacing w:line="240" w:lineRule="exact"/>
              <w:ind w:firstLine="0" w:firstLineChars="0"/>
              <w:jc w:val="center"/>
            </w:pPr>
          </w:p>
          <w:p>
            <w:pPr>
              <w:pStyle w:val="4"/>
              <w:spacing w:line="240" w:lineRule="exact"/>
              <w:ind w:firstLine="0" w:firstLineChars="0"/>
              <w:jc w:val="center"/>
            </w:pPr>
            <w:r>
              <w:rPr>
                <w:sz w:val="24"/>
                <w:szCs w:val="24"/>
              </w:rPr>
              <w:t>C</w:t>
            </w:r>
            <w:r>
              <w:rPr>
                <w:rFonts w:hint="eastAsia"/>
                <w:sz w:val="24"/>
                <w:szCs w:val="24"/>
              </w:rPr>
              <w:t>NKI</w:t>
            </w:r>
          </w:p>
        </w:tc>
        <w:tc>
          <w:tcPr>
            <w:tcW w:w="1178" w:type="dxa"/>
            <w:vAlign w:val="center"/>
          </w:tcPr>
          <w:p>
            <w:pPr>
              <w:pStyle w:val="4"/>
              <w:spacing w:line="240" w:lineRule="exact"/>
              <w:ind w:firstLine="0" w:firstLineChars="0"/>
              <w:jc w:val="center"/>
            </w:pPr>
            <w:r>
              <w:rPr>
                <w:rFonts w:hint="eastAsia"/>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4"/>
              <w:spacing w:line="240" w:lineRule="exact"/>
              <w:ind w:firstLine="0" w:firstLineChars="0"/>
              <w:jc w:val="center"/>
            </w:pPr>
            <w:r>
              <w:t>4</w:t>
            </w:r>
          </w:p>
        </w:tc>
        <w:tc>
          <w:tcPr>
            <w:tcW w:w="1480" w:type="dxa"/>
            <w:vAlign w:val="center"/>
          </w:tcPr>
          <w:p>
            <w:pPr>
              <w:pStyle w:val="4"/>
              <w:spacing w:line="240" w:lineRule="exact"/>
              <w:ind w:firstLine="0" w:firstLineChars="0"/>
              <w:jc w:val="center"/>
              <w:rPr>
                <w:shd w:val="clear" w:color="auto" w:fill="FFFFFF"/>
              </w:rPr>
            </w:pPr>
            <w:r>
              <w:rPr>
                <w:rStyle w:val="13"/>
                <w:color w:val="000000"/>
                <w:shd w:val="clear" w:color="auto" w:fill="FFFFFF"/>
              </w:rPr>
              <w:t>f0(500)</w:t>
            </w:r>
            <w:r>
              <w:rPr>
                <w:rStyle w:val="12"/>
                <w:color w:val="000000"/>
                <w:shd w:val="clear" w:color="auto" w:fill="FFFFFF"/>
              </w:rPr>
              <w:t> </w:t>
            </w:r>
            <w:r>
              <w:rPr>
                <w:shd w:val="clear" w:color="auto" w:fill="FFFFFF"/>
              </w:rPr>
              <w:t>,</w:t>
            </w:r>
            <w:r>
              <w:rPr>
                <w:rStyle w:val="13"/>
                <w:color w:val="000000"/>
                <w:shd w:val="clear" w:color="auto" w:fill="FFFFFF"/>
              </w:rPr>
              <w:t xml:space="preserve"> f0(980)</w:t>
            </w:r>
            <w:r>
              <w:rPr>
                <w:rStyle w:val="12"/>
                <w:color w:val="000000"/>
                <w:shd w:val="clear" w:color="auto" w:fill="FFFFFF"/>
              </w:rPr>
              <w:t> </w:t>
            </w:r>
            <w:r>
              <w:rPr>
                <w:shd w:val="clear" w:color="auto" w:fill="FFFFFF"/>
              </w:rPr>
              <w:t>, and</w:t>
            </w:r>
            <w:r>
              <w:rPr>
                <w:rStyle w:val="12"/>
                <w:color w:val="000000"/>
                <w:shd w:val="clear" w:color="auto" w:fill="FFFFFF"/>
              </w:rPr>
              <w:t> </w:t>
            </w:r>
            <w:r>
              <w:rPr>
                <w:rStyle w:val="13"/>
                <w:color w:val="000000"/>
                <w:shd w:val="clear" w:color="auto" w:fill="FFFFFF"/>
              </w:rPr>
              <w:t>a0(980)</w:t>
            </w:r>
            <w:r>
              <w:rPr>
                <w:rStyle w:val="12"/>
                <w:color w:val="000000"/>
                <w:shd w:val="clear" w:color="auto" w:fill="FFFFFF"/>
              </w:rPr>
              <w:t> </w:t>
            </w:r>
            <w:r>
              <w:rPr>
                <w:shd w:val="clear" w:color="auto" w:fill="FFFFFF"/>
              </w:rPr>
              <w:t>production in the</w:t>
            </w:r>
            <w:r>
              <w:rPr>
                <w:rStyle w:val="12"/>
                <w:color w:val="000000"/>
                <w:shd w:val="clear" w:color="auto" w:fill="FFFFFF"/>
              </w:rPr>
              <w:t> </w:t>
            </w:r>
            <w:r>
              <w:rPr>
                <w:rStyle w:val="13"/>
                <w:color w:val="000000"/>
                <w:shd w:val="clear" w:color="auto" w:fill="FFFFFF"/>
              </w:rPr>
              <w:t xml:space="preserve">χc1→ηππ </w:t>
            </w:r>
            <w:r>
              <w:rPr>
                <w:shd w:val="clear" w:color="auto" w:fill="FFFFFF"/>
              </w:rPr>
              <w:t>reaction</w:t>
            </w:r>
            <w:r>
              <w:rPr>
                <w:rFonts w:hint="eastAsia"/>
                <w:shd w:val="clear" w:color="auto" w:fill="FFFFFF"/>
              </w:rPr>
              <w:t>,</w:t>
            </w:r>
          </w:p>
          <w:p>
            <w:pPr>
              <w:pStyle w:val="4"/>
              <w:spacing w:line="240" w:lineRule="exact"/>
              <w:ind w:firstLine="0" w:firstLineChars="0"/>
              <w:jc w:val="center"/>
              <w:rPr>
                <w:shd w:val="clear" w:color="auto" w:fill="FFFFFF"/>
              </w:rPr>
            </w:pPr>
            <w:r>
              <w:rPr>
                <w:color w:val="333333"/>
                <w:spacing w:val="5"/>
                <w:kern w:val="36"/>
              </w:rPr>
              <w:t>The European Physical Journal C,</w:t>
            </w:r>
          </w:p>
          <w:p>
            <w:pPr>
              <w:pStyle w:val="4"/>
              <w:spacing w:line="240" w:lineRule="exact"/>
              <w:ind w:firstLine="0" w:firstLineChars="0"/>
              <w:jc w:val="center"/>
              <w:rPr>
                <w:shd w:val="clear" w:color="auto" w:fill="FFFFFF"/>
              </w:rPr>
            </w:pPr>
            <w:r>
              <w:rPr>
                <w:b/>
                <w:shd w:val="clear" w:color="auto" w:fill="FFFFFF"/>
              </w:rPr>
              <w:t>We</w:t>
            </w:r>
            <w:r>
              <w:rPr>
                <w:rFonts w:hint="eastAsia"/>
                <w:b/>
                <w:shd w:val="clear" w:color="auto" w:fill="FFFFFF"/>
              </w:rPr>
              <w:t>i</w:t>
            </w:r>
            <w:r>
              <w:rPr>
                <w:b/>
                <w:shd w:val="clear" w:color="auto" w:fill="FFFFFF"/>
              </w:rPr>
              <w:t>-Hong Liang</w:t>
            </w:r>
            <w:r>
              <w:rPr>
                <w:rStyle w:val="12"/>
                <w:shd w:val="clear" w:color="auto" w:fill="FFFFFF"/>
              </w:rPr>
              <w:t> </w:t>
            </w:r>
            <w:r>
              <w:rPr>
                <w:shd w:val="clear" w:color="auto" w:fill="FFFFFF"/>
              </w:rPr>
              <w:t>,</w:t>
            </w:r>
            <w:r>
              <w:rPr>
                <w:rStyle w:val="12"/>
                <w:shd w:val="clear" w:color="auto" w:fill="FFFFFF"/>
              </w:rPr>
              <w:t> </w:t>
            </w:r>
            <w:r>
              <w:rPr>
                <w:b/>
              </w:rPr>
              <w:t>Ju-Jun Xie</w:t>
            </w:r>
            <w:r>
              <w:rPr>
                <w:rFonts w:hint="eastAsia"/>
                <w:shd w:val="clear" w:color="auto" w:fill="FFFFFF"/>
              </w:rPr>
              <w:t xml:space="preserve">, </w:t>
            </w:r>
            <w:r>
              <w:rPr>
                <w:shd w:val="clear" w:color="auto" w:fill="FFFFFF"/>
              </w:rPr>
              <w:t>Eulogio Oset</w:t>
            </w:r>
          </w:p>
        </w:tc>
        <w:tc>
          <w:tcPr>
            <w:tcW w:w="1276" w:type="dxa"/>
            <w:vAlign w:val="center"/>
          </w:tcPr>
          <w:p>
            <w:pPr>
              <w:pStyle w:val="4"/>
              <w:spacing w:line="240" w:lineRule="exact"/>
              <w:ind w:firstLine="0" w:firstLineChars="0"/>
              <w:jc w:val="center"/>
            </w:pPr>
            <w:r>
              <w:rPr>
                <w:rFonts w:hint="eastAsia"/>
              </w:rPr>
              <w:t>2</w:t>
            </w:r>
            <w:r>
              <w:t>016</w:t>
            </w:r>
            <w:r>
              <w:rPr>
                <w:rFonts w:hint="eastAsia"/>
              </w:rPr>
              <w:t>年7</w:t>
            </w:r>
            <w:r>
              <w:t>6</w:t>
            </w:r>
            <w:r>
              <w:rPr>
                <w:rFonts w:hint="eastAsia"/>
              </w:rPr>
              <w:t>卷7</w:t>
            </w:r>
            <w:r>
              <w:t>00</w:t>
            </w:r>
            <w:r>
              <w:rPr>
                <w:rFonts w:hint="eastAsia"/>
              </w:rPr>
              <w:t>页</w:t>
            </w:r>
          </w:p>
        </w:tc>
        <w:tc>
          <w:tcPr>
            <w:tcW w:w="992" w:type="dxa"/>
            <w:vAlign w:val="center"/>
          </w:tcPr>
          <w:p>
            <w:pPr>
              <w:pStyle w:val="4"/>
              <w:spacing w:line="240" w:lineRule="exact"/>
              <w:ind w:firstLine="0" w:firstLineChars="0"/>
              <w:jc w:val="center"/>
            </w:pPr>
            <w:r>
              <w:rPr>
                <w:rFonts w:hint="eastAsia"/>
              </w:rPr>
              <w:t>2</w:t>
            </w:r>
            <w:r>
              <w:t>016</w:t>
            </w:r>
            <w:r>
              <w:rPr>
                <w:rFonts w:hint="eastAsia"/>
              </w:rPr>
              <w:t>年12月20日</w:t>
            </w:r>
          </w:p>
        </w:tc>
        <w:tc>
          <w:tcPr>
            <w:tcW w:w="851" w:type="dxa"/>
            <w:vAlign w:val="center"/>
          </w:tcPr>
          <w:p>
            <w:pPr>
              <w:pStyle w:val="4"/>
              <w:spacing w:line="240" w:lineRule="exact"/>
              <w:ind w:firstLine="0" w:firstLineChars="0"/>
              <w:jc w:val="center"/>
              <w:rPr>
                <w:bCs w:val="0"/>
              </w:rPr>
            </w:pPr>
            <w:r>
              <w:rPr>
                <w:bCs w:val="0"/>
                <w:shd w:val="clear" w:color="auto" w:fill="FFFFFF"/>
              </w:rPr>
              <w:t>We</w:t>
            </w:r>
            <w:r>
              <w:rPr>
                <w:rFonts w:hint="eastAsia"/>
                <w:bCs w:val="0"/>
                <w:shd w:val="clear" w:color="auto" w:fill="FFFFFF"/>
              </w:rPr>
              <w:t>i</w:t>
            </w:r>
            <w:r>
              <w:rPr>
                <w:bCs w:val="0"/>
                <w:shd w:val="clear" w:color="auto" w:fill="FFFFFF"/>
              </w:rPr>
              <w:t>-Hong Liang</w:t>
            </w:r>
          </w:p>
        </w:tc>
        <w:tc>
          <w:tcPr>
            <w:tcW w:w="850" w:type="dxa"/>
            <w:vAlign w:val="center"/>
          </w:tcPr>
          <w:p>
            <w:pPr>
              <w:pStyle w:val="4"/>
              <w:spacing w:line="240" w:lineRule="exact"/>
              <w:ind w:firstLine="0" w:firstLineChars="0"/>
              <w:jc w:val="center"/>
              <w:rPr>
                <w:bCs w:val="0"/>
              </w:rPr>
            </w:pPr>
            <w:r>
              <w:rPr>
                <w:bCs w:val="0"/>
                <w:shd w:val="clear" w:color="auto" w:fill="FFFFFF"/>
              </w:rPr>
              <w:t>We</w:t>
            </w:r>
            <w:r>
              <w:rPr>
                <w:rFonts w:hint="eastAsia"/>
                <w:bCs w:val="0"/>
                <w:shd w:val="clear" w:color="auto" w:fill="FFFFFF"/>
              </w:rPr>
              <w:t>i</w:t>
            </w:r>
            <w:r>
              <w:rPr>
                <w:bCs w:val="0"/>
                <w:shd w:val="clear" w:color="auto" w:fill="FFFFFF"/>
              </w:rPr>
              <w:t>-Hong Liang</w:t>
            </w:r>
          </w:p>
        </w:tc>
        <w:tc>
          <w:tcPr>
            <w:tcW w:w="851" w:type="dxa"/>
            <w:vAlign w:val="center"/>
          </w:tcPr>
          <w:p>
            <w:pPr>
              <w:pStyle w:val="4"/>
              <w:spacing w:line="240" w:lineRule="exact"/>
              <w:ind w:firstLine="0" w:firstLineChars="0"/>
              <w:jc w:val="center"/>
            </w:pPr>
            <w:r>
              <w:rPr>
                <w:rFonts w:hint="eastAsia"/>
              </w:rPr>
              <w:t>梁伟红</w:t>
            </w:r>
          </w:p>
          <w:p>
            <w:pPr>
              <w:pStyle w:val="4"/>
              <w:spacing w:line="240" w:lineRule="exact"/>
              <w:ind w:firstLine="0" w:firstLineChars="0"/>
              <w:jc w:val="center"/>
            </w:pPr>
            <w:r>
              <w:rPr>
                <w:rFonts w:hint="eastAsia"/>
              </w:rPr>
              <w:t>谢聚军</w:t>
            </w:r>
          </w:p>
        </w:tc>
        <w:tc>
          <w:tcPr>
            <w:tcW w:w="850" w:type="dxa"/>
            <w:vAlign w:val="center"/>
          </w:tcPr>
          <w:p>
            <w:pPr>
              <w:pStyle w:val="4"/>
              <w:spacing w:line="240" w:lineRule="exact"/>
              <w:ind w:firstLine="0" w:firstLineChars="0"/>
              <w:jc w:val="center"/>
              <w:rPr>
                <w:color w:val="FF0000"/>
              </w:rPr>
            </w:pPr>
            <w:r>
              <w:rPr>
                <w:rFonts w:hint="eastAsia"/>
              </w:rPr>
              <w:t>5</w:t>
            </w:r>
          </w:p>
        </w:tc>
        <w:tc>
          <w:tcPr>
            <w:tcW w:w="1118" w:type="dxa"/>
            <w:vAlign w:val="center"/>
          </w:tcPr>
          <w:p>
            <w:pPr>
              <w:pStyle w:val="4"/>
              <w:spacing w:line="240" w:lineRule="exact"/>
              <w:ind w:firstLine="0" w:firstLineChars="0"/>
              <w:jc w:val="center"/>
              <w:rPr>
                <w:color w:val="000000"/>
                <w:sz w:val="24"/>
                <w:szCs w:val="24"/>
              </w:rPr>
            </w:pPr>
            <w:r>
              <w:rPr>
                <w:color w:val="000000"/>
                <w:sz w:val="24"/>
                <w:szCs w:val="24"/>
              </w:rPr>
              <w:t>SCI-EXPANDED</w:t>
            </w:r>
            <w:r>
              <w:rPr>
                <w:rFonts w:hint="eastAsia"/>
                <w:color w:val="000000"/>
                <w:sz w:val="24"/>
                <w:szCs w:val="24"/>
              </w:rPr>
              <w:t>，</w:t>
            </w:r>
          </w:p>
          <w:p>
            <w:pPr>
              <w:pStyle w:val="4"/>
              <w:spacing w:line="240" w:lineRule="exact"/>
              <w:ind w:firstLine="0" w:firstLineChars="0"/>
              <w:jc w:val="center"/>
              <w:rPr>
                <w:color w:val="000000"/>
                <w:sz w:val="24"/>
                <w:szCs w:val="24"/>
              </w:rPr>
            </w:pPr>
          </w:p>
          <w:p>
            <w:pPr>
              <w:pStyle w:val="4"/>
              <w:spacing w:line="240" w:lineRule="exact"/>
              <w:ind w:firstLine="0" w:firstLineChars="0"/>
              <w:jc w:val="center"/>
              <w:rPr>
                <w:sz w:val="24"/>
                <w:szCs w:val="24"/>
              </w:rPr>
            </w:pPr>
            <w:r>
              <w:rPr>
                <w:sz w:val="24"/>
                <w:szCs w:val="24"/>
              </w:rPr>
              <w:t>CSCD</w:t>
            </w:r>
            <w:r>
              <w:rPr>
                <w:rFonts w:hint="eastAsia"/>
                <w:sz w:val="24"/>
                <w:szCs w:val="24"/>
              </w:rPr>
              <w:t>，</w:t>
            </w:r>
          </w:p>
          <w:p>
            <w:pPr>
              <w:pStyle w:val="4"/>
              <w:spacing w:line="240" w:lineRule="exact"/>
              <w:ind w:firstLine="0" w:firstLineChars="0"/>
              <w:jc w:val="center"/>
            </w:pPr>
          </w:p>
          <w:p>
            <w:pPr>
              <w:pStyle w:val="4"/>
              <w:spacing w:line="240" w:lineRule="exact"/>
              <w:ind w:firstLine="0" w:firstLineChars="0"/>
              <w:jc w:val="center"/>
            </w:pPr>
            <w:r>
              <w:rPr>
                <w:sz w:val="24"/>
                <w:szCs w:val="24"/>
              </w:rPr>
              <w:t>C</w:t>
            </w:r>
            <w:r>
              <w:rPr>
                <w:rFonts w:hint="eastAsia"/>
                <w:sz w:val="24"/>
                <w:szCs w:val="24"/>
              </w:rPr>
              <w:t>NKI</w:t>
            </w:r>
          </w:p>
        </w:tc>
        <w:tc>
          <w:tcPr>
            <w:tcW w:w="1178" w:type="dxa"/>
            <w:vAlign w:val="center"/>
          </w:tcPr>
          <w:p>
            <w:pPr>
              <w:pStyle w:val="4"/>
              <w:spacing w:line="240" w:lineRule="exact"/>
              <w:ind w:firstLine="0" w:firstLineChars="0"/>
              <w:jc w:val="center"/>
            </w:pPr>
            <w:r>
              <w:rPr>
                <w:rFonts w:hint="eastAsia"/>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60" w:type="dxa"/>
            <w:vAlign w:val="center"/>
          </w:tcPr>
          <w:p>
            <w:pPr>
              <w:pStyle w:val="4"/>
              <w:spacing w:line="240" w:lineRule="exact"/>
              <w:ind w:firstLine="0" w:firstLineChars="0"/>
              <w:jc w:val="center"/>
            </w:pPr>
            <w:r>
              <w:t>5</w:t>
            </w:r>
          </w:p>
        </w:tc>
        <w:tc>
          <w:tcPr>
            <w:tcW w:w="1480" w:type="dxa"/>
            <w:vAlign w:val="center"/>
          </w:tcPr>
          <w:p>
            <w:pPr>
              <w:pStyle w:val="4"/>
              <w:spacing w:line="240" w:lineRule="exact"/>
              <w:ind w:firstLine="0" w:firstLineChars="0"/>
              <w:jc w:val="center"/>
              <w:rPr>
                <w:rStyle w:val="16"/>
                <w:color w:val="000000"/>
                <w:shd w:val="clear" w:color="auto" w:fill="FFFFFF"/>
              </w:rPr>
            </w:pPr>
            <w:r>
              <w:rPr>
                <w:rStyle w:val="14"/>
                <w:i/>
                <w:iCs/>
                <w:color w:val="000000"/>
                <w:shd w:val="clear" w:color="auto" w:fill="FFFFFF"/>
              </w:rPr>
              <w:t>B</w:t>
            </w:r>
            <w:r>
              <w:rPr>
                <w:rStyle w:val="16"/>
                <w:color w:val="000000"/>
                <w:shd w:val="clear" w:color="auto" w:fill="FFFFFF"/>
              </w:rPr>
              <w:t>0</w:t>
            </w:r>
            <w:r>
              <w:rPr>
                <w:rStyle w:val="12"/>
                <w:color w:val="000000"/>
                <w:shd w:val="clear" w:color="auto" w:fill="FFFFFF"/>
              </w:rPr>
              <w:t> </w:t>
            </w:r>
            <w:r>
              <w:rPr>
                <w:shd w:val="clear" w:color="auto" w:fill="FFFFFF"/>
              </w:rPr>
              <w:t>decay into</w:t>
            </w:r>
            <w:r>
              <w:rPr>
                <w:rStyle w:val="12"/>
                <w:color w:val="000000"/>
                <w:shd w:val="clear" w:color="auto" w:fill="FFFFFF"/>
              </w:rPr>
              <w:t> </w:t>
            </w:r>
            <w:r>
              <w:rPr>
                <w:rStyle w:val="14"/>
                <w:color w:val="000000"/>
                <w:shd w:val="clear" w:color="auto" w:fill="FFFFFF"/>
              </w:rPr>
              <w:t>D</w:t>
            </w:r>
            <w:r>
              <w:rPr>
                <w:rStyle w:val="16"/>
                <w:color w:val="000000"/>
                <w:shd w:val="clear" w:color="auto" w:fill="FFFFFF"/>
              </w:rPr>
              <w:t>0</w:t>
            </w:r>
            <w:r>
              <w:rPr>
                <w:rStyle w:val="12"/>
                <w:color w:val="000000"/>
                <w:shd w:val="clear" w:color="auto" w:fill="FFFFFF"/>
              </w:rPr>
              <w:t> </w:t>
            </w:r>
            <w:r>
              <w:rPr>
                <w:shd w:val="clear" w:color="auto" w:fill="FFFFFF"/>
              </w:rPr>
              <w:t>and</w:t>
            </w:r>
            <w:r>
              <w:rPr>
                <w:rStyle w:val="12"/>
                <w:color w:val="000000"/>
                <w:shd w:val="clear" w:color="auto" w:fill="FFFFFF"/>
              </w:rPr>
              <w:t> </w:t>
            </w:r>
            <w:r>
              <w:rPr>
                <w:rStyle w:val="14"/>
                <w:color w:val="000000"/>
                <w:shd w:val="clear" w:color="auto" w:fill="FFFFFF"/>
              </w:rPr>
              <w:t>f</w:t>
            </w:r>
            <w:r>
              <w:rPr>
                <w:rStyle w:val="16"/>
                <w:color w:val="000000"/>
                <w:shd w:val="clear" w:color="auto" w:fill="FFFFFF"/>
              </w:rPr>
              <w:t>0</w:t>
            </w:r>
            <w:r>
              <w:rPr>
                <w:rStyle w:val="15"/>
                <w:color w:val="000000"/>
                <w:shd w:val="clear" w:color="auto" w:fill="FFFFFF"/>
              </w:rPr>
              <w:t>(</w:t>
            </w:r>
            <w:r>
              <w:rPr>
                <w:rStyle w:val="16"/>
                <w:color w:val="000000"/>
                <w:shd w:val="clear" w:color="auto" w:fill="FFFFFF"/>
              </w:rPr>
              <w:t>500</w:t>
            </w:r>
            <w:r>
              <w:rPr>
                <w:rStyle w:val="15"/>
                <w:color w:val="000000"/>
                <w:shd w:val="clear" w:color="auto" w:fill="FFFFFF"/>
              </w:rPr>
              <w:t>)</w:t>
            </w:r>
            <w:r>
              <w:rPr>
                <w:shd w:val="clear" w:color="auto" w:fill="FFFFFF"/>
              </w:rPr>
              <w:t>,</w:t>
            </w:r>
            <w:r>
              <w:rPr>
                <w:rFonts w:hint="eastAsia"/>
                <w:shd w:val="clear" w:color="auto" w:fill="FFFFFF"/>
              </w:rPr>
              <w:t xml:space="preserve"> </w:t>
            </w:r>
            <w:r>
              <w:rPr>
                <w:rStyle w:val="14"/>
                <w:color w:val="000000"/>
                <w:shd w:val="clear" w:color="auto" w:fill="FFFFFF"/>
              </w:rPr>
              <w:t>f</w:t>
            </w:r>
            <w:r>
              <w:rPr>
                <w:rStyle w:val="16"/>
                <w:color w:val="000000"/>
                <w:shd w:val="clear" w:color="auto" w:fill="FFFFFF"/>
              </w:rPr>
              <w:t>0</w:t>
            </w:r>
            <w:r>
              <w:rPr>
                <w:rStyle w:val="15"/>
                <w:color w:val="000000"/>
                <w:shd w:val="clear" w:color="auto" w:fill="FFFFFF"/>
              </w:rPr>
              <w:t>(</w:t>
            </w:r>
            <w:r>
              <w:rPr>
                <w:rStyle w:val="16"/>
                <w:color w:val="000000"/>
                <w:shd w:val="clear" w:color="auto" w:fill="FFFFFF"/>
              </w:rPr>
              <w:t>980</w:t>
            </w:r>
            <w:r>
              <w:rPr>
                <w:rStyle w:val="15"/>
                <w:color w:val="000000"/>
                <w:shd w:val="clear" w:color="auto" w:fill="FFFFFF"/>
              </w:rPr>
              <w:t>)</w:t>
            </w:r>
            <w:r>
              <w:rPr>
                <w:shd w:val="clear" w:color="auto" w:fill="FFFFFF"/>
              </w:rPr>
              <w:t>,</w:t>
            </w:r>
            <w:r>
              <w:rPr>
                <w:rStyle w:val="12"/>
                <w:color w:val="000000"/>
                <w:shd w:val="clear" w:color="auto" w:fill="FFFFFF"/>
              </w:rPr>
              <w:t> </w:t>
            </w:r>
            <w:r>
              <w:rPr>
                <w:rStyle w:val="14"/>
                <w:color w:val="000000"/>
                <w:shd w:val="clear" w:color="auto" w:fill="FFFFFF"/>
              </w:rPr>
              <w:t>a</w:t>
            </w:r>
            <w:r>
              <w:rPr>
                <w:rStyle w:val="16"/>
                <w:color w:val="000000"/>
                <w:shd w:val="clear" w:color="auto" w:fill="FFFFFF"/>
              </w:rPr>
              <w:t>0</w:t>
            </w:r>
            <w:r>
              <w:rPr>
                <w:rStyle w:val="15"/>
                <w:color w:val="000000"/>
                <w:shd w:val="clear" w:color="auto" w:fill="FFFFFF"/>
              </w:rPr>
              <w:t>(</w:t>
            </w:r>
            <w:r>
              <w:rPr>
                <w:rStyle w:val="16"/>
                <w:color w:val="000000"/>
                <w:shd w:val="clear" w:color="auto" w:fill="FFFFFF"/>
              </w:rPr>
              <w:t>980</w:t>
            </w:r>
            <w:r>
              <w:rPr>
                <w:rStyle w:val="15"/>
                <w:color w:val="000000"/>
                <w:shd w:val="clear" w:color="auto" w:fill="FFFFFF"/>
              </w:rPr>
              <w:t>)</w:t>
            </w:r>
            <w:r>
              <w:rPr>
                <w:shd w:val="clear" w:color="auto" w:fill="FFFFFF"/>
              </w:rPr>
              <w:t>,</w:t>
            </w:r>
            <w:r>
              <w:rPr>
                <w:rStyle w:val="12"/>
                <w:color w:val="000000"/>
                <w:shd w:val="clear" w:color="auto" w:fill="FFFFFF"/>
              </w:rPr>
              <w:t> </w:t>
            </w:r>
            <w:r>
              <w:rPr>
                <w:rStyle w:val="14"/>
                <w:i/>
                <w:iCs/>
                <w:color w:val="000000"/>
                <w:shd w:val="clear" w:color="auto" w:fill="FFFFFF"/>
              </w:rPr>
              <w:t>ρ</w:t>
            </w:r>
            <w:r>
              <w:rPr>
                <w:rStyle w:val="12"/>
                <w:color w:val="000000"/>
                <w:shd w:val="clear" w:color="auto" w:fill="FFFFFF"/>
              </w:rPr>
              <w:t> </w:t>
            </w:r>
            <w:r>
              <w:rPr>
                <w:shd w:val="clear" w:color="auto" w:fill="FFFFFF"/>
              </w:rPr>
              <w:t>and</w:t>
            </w:r>
            <w:r>
              <w:rPr>
                <w:rStyle w:val="12"/>
                <w:color w:val="000000"/>
                <w:shd w:val="clear" w:color="auto" w:fill="FFFFFF"/>
              </w:rPr>
              <w:t> </w:t>
            </w:r>
            <w:r>
              <w:rPr>
                <w:rStyle w:val="14"/>
                <w:color w:val="000000"/>
                <w:shd w:val="clear" w:color="auto" w:fill="FFFFFF"/>
              </w:rPr>
              <w:t>B</w:t>
            </w:r>
            <w:r>
              <w:rPr>
                <w:rStyle w:val="16"/>
                <w:color w:val="000000"/>
                <w:shd w:val="clear" w:color="auto" w:fill="FFFFFF"/>
              </w:rPr>
              <w:t>0</w:t>
            </w:r>
            <w:r>
              <w:rPr>
                <w:rStyle w:val="14"/>
                <w:color w:val="000000"/>
                <w:shd w:val="clear" w:color="auto" w:fill="FFFFFF"/>
              </w:rPr>
              <w:t>s</w:t>
            </w:r>
            <w:r>
              <w:rPr>
                <w:rStyle w:val="12"/>
                <w:color w:val="000000"/>
                <w:shd w:val="clear" w:color="auto" w:fill="FFFFFF"/>
              </w:rPr>
              <w:t> </w:t>
            </w:r>
            <w:r>
              <w:rPr>
                <w:shd w:val="clear" w:color="auto" w:fill="FFFFFF"/>
              </w:rPr>
              <w:t>decay into</w:t>
            </w:r>
            <w:r>
              <w:rPr>
                <w:rStyle w:val="12"/>
                <w:color w:val="000000"/>
                <w:shd w:val="clear" w:color="auto" w:fill="FFFFFF"/>
              </w:rPr>
              <w:t> </w:t>
            </w:r>
            <w:r>
              <w:rPr>
                <w:rStyle w:val="14"/>
                <w:i/>
                <w:iCs/>
                <w:color w:val="000000"/>
                <w:shd w:val="clear" w:color="auto" w:fill="FFFFFF"/>
              </w:rPr>
              <w:t>D</w:t>
            </w:r>
            <w:r>
              <w:rPr>
                <w:rStyle w:val="16"/>
                <w:color w:val="000000"/>
                <w:shd w:val="clear" w:color="auto" w:fill="FFFFFF"/>
              </w:rPr>
              <w:t>0</w:t>
            </w:r>
            <w:r>
              <w:rPr>
                <w:rStyle w:val="12"/>
                <w:color w:val="000000"/>
                <w:shd w:val="clear" w:color="auto" w:fill="FFFFFF"/>
              </w:rPr>
              <w:t> </w:t>
            </w:r>
            <w:r>
              <w:rPr>
                <w:shd w:val="clear" w:color="auto" w:fill="FFFFFF"/>
              </w:rPr>
              <w:t>and</w:t>
            </w:r>
            <w:r>
              <w:rPr>
                <w:rStyle w:val="12"/>
                <w:color w:val="000000"/>
                <w:shd w:val="clear" w:color="auto" w:fill="FFFFFF"/>
              </w:rPr>
              <w:t> </w:t>
            </w:r>
            <w:r>
              <w:rPr>
                <w:rStyle w:val="14"/>
                <w:i/>
                <w:iCs/>
                <w:color w:val="000000"/>
                <w:shd w:val="clear" w:color="auto" w:fill="FFFFFF"/>
              </w:rPr>
              <w:t>κ</w:t>
            </w:r>
            <w:r>
              <w:rPr>
                <w:rStyle w:val="15"/>
                <w:color w:val="000000"/>
                <w:shd w:val="clear" w:color="auto" w:fill="FFFFFF"/>
              </w:rPr>
              <w:t>(</w:t>
            </w:r>
            <w:r>
              <w:rPr>
                <w:rStyle w:val="16"/>
                <w:color w:val="000000"/>
                <w:shd w:val="clear" w:color="auto" w:fill="FFFFFF"/>
              </w:rPr>
              <w:t>800</w:t>
            </w:r>
            <w:r>
              <w:rPr>
                <w:rStyle w:val="15"/>
                <w:color w:val="000000"/>
                <w:shd w:val="clear" w:color="auto" w:fill="FFFFFF"/>
              </w:rPr>
              <w:t>)</w:t>
            </w:r>
            <w:r>
              <w:rPr>
                <w:shd w:val="clear" w:color="auto" w:fill="FFFFFF"/>
              </w:rPr>
              <w:t>,</w:t>
            </w:r>
            <w:r>
              <w:rPr>
                <w:rStyle w:val="12"/>
                <w:color w:val="000000"/>
                <w:shd w:val="clear" w:color="auto" w:fill="FFFFFF"/>
              </w:rPr>
              <w:t> </w:t>
            </w:r>
            <w:r>
              <w:rPr>
                <w:rStyle w:val="14"/>
                <w:color w:val="000000"/>
                <w:shd w:val="clear" w:color="auto" w:fill="FFFFFF"/>
              </w:rPr>
              <w:t>K</w:t>
            </w:r>
            <w:r>
              <w:rPr>
                <w:rStyle w:val="15"/>
                <w:rFonts w:hAnsi="Cambria Math"/>
                <w:color w:val="000000"/>
                <w:shd w:val="clear" w:color="auto" w:fill="FFFFFF"/>
              </w:rPr>
              <w:t>∗</w:t>
            </w:r>
            <w:r>
              <w:rPr>
                <w:rStyle w:val="16"/>
                <w:color w:val="000000"/>
                <w:shd w:val="clear" w:color="auto" w:fill="FFFFFF"/>
              </w:rPr>
              <w:t>0</w:t>
            </w:r>
            <w:r>
              <w:rPr>
                <w:rStyle w:val="16"/>
                <w:rFonts w:hint="eastAsia"/>
                <w:color w:val="000000"/>
                <w:shd w:val="clear" w:color="auto" w:fill="FFFFFF"/>
              </w:rPr>
              <w:t>,</w:t>
            </w:r>
          </w:p>
          <w:p>
            <w:pPr>
              <w:pStyle w:val="4"/>
              <w:spacing w:line="240" w:lineRule="exact"/>
              <w:ind w:firstLine="0" w:firstLineChars="0"/>
              <w:jc w:val="center"/>
            </w:pPr>
            <w:r>
              <w:rPr>
                <w:rFonts w:hint="eastAsia"/>
              </w:rPr>
              <w:t>Physical Review D</w:t>
            </w:r>
            <w:r>
              <w:t>,</w:t>
            </w:r>
          </w:p>
          <w:p>
            <w:pPr>
              <w:pStyle w:val="4"/>
              <w:spacing w:line="240" w:lineRule="exact"/>
              <w:ind w:firstLine="0" w:firstLineChars="0"/>
              <w:jc w:val="center"/>
            </w:pPr>
            <w:r>
              <w:rPr>
                <w:b/>
                <w:kern w:val="0"/>
              </w:rPr>
              <w:t>W</w:t>
            </w:r>
            <w:r>
              <w:rPr>
                <w:rFonts w:hint="eastAsia"/>
                <w:b/>
                <w:kern w:val="0"/>
              </w:rPr>
              <w:t>ei-</w:t>
            </w:r>
            <w:r>
              <w:rPr>
                <w:b/>
                <w:kern w:val="0"/>
              </w:rPr>
              <w:t>H</w:t>
            </w:r>
            <w:r>
              <w:rPr>
                <w:rFonts w:hint="eastAsia"/>
                <w:b/>
                <w:kern w:val="0"/>
              </w:rPr>
              <w:t>ong</w:t>
            </w:r>
            <w:r>
              <w:rPr>
                <w:b/>
                <w:kern w:val="0"/>
              </w:rPr>
              <w:t xml:space="preserve"> Liang</w:t>
            </w:r>
            <w:r>
              <w:rPr>
                <w:kern w:val="0"/>
              </w:rPr>
              <w:t>，</w:t>
            </w:r>
            <w:r>
              <w:rPr>
                <w:rStyle w:val="12"/>
                <w:rFonts w:ascii="Arial" w:hAnsi="Arial" w:cs="Arial"/>
                <w:sz w:val="20"/>
                <w:szCs w:val="20"/>
                <w:shd w:val="clear" w:color="auto" w:fill="FFFFFF"/>
              </w:rPr>
              <w:t> </w:t>
            </w:r>
            <w:r>
              <w:rPr>
                <w:rFonts w:ascii="Arial" w:hAnsi="Arial" w:cs="Arial"/>
                <w:b/>
                <w:sz w:val="20"/>
                <w:szCs w:val="20"/>
                <w:shd w:val="clear" w:color="auto" w:fill="FFFFFF"/>
              </w:rPr>
              <w:t>J</w:t>
            </w:r>
            <w:r>
              <w:rPr>
                <w:rFonts w:hint="eastAsia" w:ascii="Arial" w:hAnsi="Arial" w:cs="Arial"/>
                <w:b/>
                <w:sz w:val="20"/>
                <w:szCs w:val="20"/>
                <w:shd w:val="clear" w:color="auto" w:fill="FFFFFF"/>
              </w:rPr>
              <w:t>u-Jun</w:t>
            </w:r>
            <w:r>
              <w:rPr>
                <w:rFonts w:ascii="Arial" w:hAnsi="Arial" w:cs="Arial"/>
                <w:b/>
                <w:sz w:val="20"/>
                <w:szCs w:val="20"/>
                <w:shd w:val="clear" w:color="auto" w:fill="FFFFFF"/>
              </w:rPr>
              <w:t xml:space="preserve"> Xie</w:t>
            </w:r>
            <w:r>
              <w:rPr>
                <w:rFonts w:hint="eastAsia"/>
              </w:rPr>
              <w:t>，</w:t>
            </w:r>
            <w:r>
              <w:rPr>
                <w:kern w:val="0"/>
              </w:rPr>
              <w:t>E. Oset</w:t>
            </w:r>
          </w:p>
        </w:tc>
        <w:tc>
          <w:tcPr>
            <w:tcW w:w="1276" w:type="dxa"/>
            <w:vAlign w:val="center"/>
          </w:tcPr>
          <w:p>
            <w:pPr>
              <w:pStyle w:val="4"/>
              <w:spacing w:line="240" w:lineRule="exact"/>
              <w:ind w:firstLine="0" w:firstLineChars="0"/>
              <w:jc w:val="center"/>
            </w:pPr>
            <w:r>
              <w:rPr>
                <w:rFonts w:hint="eastAsia"/>
              </w:rPr>
              <w:t>2</w:t>
            </w:r>
            <w:r>
              <w:t>015</w:t>
            </w:r>
            <w:r>
              <w:rPr>
                <w:rFonts w:hint="eastAsia"/>
              </w:rPr>
              <w:t>年9</w:t>
            </w:r>
            <w:r>
              <w:t>2</w:t>
            </w:r>
            <w:r>
              <w:rPr>
                <w:rFonts w:hint="eastAsia"/>
              </w:rPr>
              <w:t>卷</w:t>
            </w:r>
            <w:r>
              <w:t>034008</w:t>
            </w:r>
            <w:r>
              <w:rPr>
                <w:rFonts w:hint="eastAsia"/>
              </w:rPr>
              <w:t>页</w:t>
            </w:r>
          </w:p>
        </w:tc>
        <w:tc>
          <w:tcPr>
            <w:tcW w:w="992" w:type="dxa"/>
            <w:vAlign w:val="center"/>
          </w:tcPr>
          <w:p>
            <w:pPr>
              <w:pStyle w:val="4"/>
              <w:spacing w:line="240" w:lineRule="exact"/>
              <w:ind w:firstLine="0" w:firstLineChars="0"/>
              <w:jc w:val="center"/>
            </w:pPr>
            <w:r>
              <w:rPr>
                <w:rFonts w:hint="eastAsia"/>
              </w:rPr>
              <w:t>2</w:t>
            </w:r>
            <w:r>
              <w:t>015</w:t>
            </w:r>
            <w:r>
              <w:rPr>
                <w:rFonts w:hint="eastAsia"/>
              </w:rPr>
              <w:t>年8月10日</w:t>
            </w:r>
          </w:p>
        </w:tc>
        <w:tc>
          <w:tcPr>
            <w:tcW w:w="851" w:type="dxa"/>
            <w:vAlign w:val="center"/>
          </w:tcPr>
          <w:p>
            <w:pPr>
              <w:pStyle w:val="4"/>
              <w:spacing w:line="240" w:lineRule="exact"/>
              <w:ind w:firstLine="0" w:firstLineChars="0"/>
              <w:jc w:val="center"/>
              <w:rPr>
                <w:bCs w:val="0"/>
              </w:rPr>
            </w:pPr>
            <w:r>
              <w:rPr>
                <w:bCs w:val="0"/>
                <w:kern w:val="0"/>
              </w:rPr>
              <w:t>W</w:t>
            </w:r>
            <w:r>
              <w:rPr>
                <w:rFonts w:hint="eastAsia"/>
                <w:bCs w:val="0"/>
                <w:kern w:val="0"/>
              </w:rPr>
              <w:t>ei-</w:t>
            </w:r>
            <w:r>
              <w:rPr>
                <w:bCs w:val="0"/>
                <w:kern w:val="0"/>
              </w:rPr>
              <w:t>H</w:t>
            </w:r>
            <w:r>
              <w:rPr>
                <w:rFonts w:hint="eastAsia"/>
                <w:bCs w:val="0"/>
                <w:kern w:val="0"/>
              </w:rPr>
              <w:t>ong</w:t>
            </w:r>
            <w:r>
              <w:rPr>
                <w:bCs w:val="0"/>
                <w:kern w:val="0"/>
              </w:rPr>
              <w:t xml:space="preserve"> Liang</w:t>
            </w:r>
          </w:p>
        </w:tc>
        <w:tc>
          <w:tcPr>
            <w:tcW w:w="850" w:type="dxa"/>
            <w:vAlign w:val="center"/>
          </w:tcPr>
          <w:p>
            <w:pPr>
              <w:pStyle w:val="4"/>
              <w:spacing w:line="240" w:lineRule="exact"/>
              <w:ind w:firstLine="0" w:firstLineChars="0"/>
              <w:jc w:val="center"/>
              <w:rPr>
                <w:bCs w:val="0"/>
              </w:rPr>
            </w:pPr>
            <w:r>
              <w:rPr>
                <w:bCs w:val="0"/>
                <w:kern w:val="0"/>
              </w:rPr>
              <w:t>W</w:t>
            </w:r>
            <w:r>
              <w:rPr>
                <w:rFonts w:hint="eastAsia"/>
                <w:bCs w:val="0"/>
                <w:kern w:val="0"/>
              </w:rPr>
              <w:t>ei-</w:t>
            </w:r>
            <w:r>
              <w:rPr>
                <w:bCs w:val="0"/>
                <w:kern w:val="0"/>
              </w:rPr>
              <w:t>H</w:t>
            </w:r>
            <w:r>
              <w:rPr>
                <w:rFonts w:hint="eastAsia"/>
                <w:bCs w:val="0"/>
                <w:kern w:val="0"/>
              </w:rPr>
              <w:t>ong</w:t>
            </w:r>
            <w:r>
              <w:rPr>
                <w:bCs w:val="0"/>
                <w:kern w:val="0"/>
              </w:rPr>
              <w:t xml:space="preserve"> Liang</w:t>
            </w:r>
          </w:p>
        </w:tc>
        <w:tc>
          <w:tcPr>
            <w:tcW w:w="851" w:type="dxa"/>
            <w:vAlign w:val="center"/>
          </w:tcPr>
          <w:p>
            <w:pPr>
              <w:pStyle w:val="4"/>
              <w:spacing w:line="240" w:lineRule="exact"/>
              <w:ind w:firstLine="0" w:firstLineChars="0"/>
              <w:jc w:val="center"/>
            </w:pPr>
            <w:r>
              <w:rPr>
                <w:rFonts w:hint="eastAsia"/>
              </w:rPr>
              <w:t>梁伟红</w:t>
            </w:r>
          </w:p>
          <w:p>
            <w:pPr>
              <w:pStyle w:val="4"/>
              <w:spacing w:line="240" w:lineRule="exact"/>
              <w:ind w:firstLine="0" w:firstLineChars="0"/>
              <w:jc w:val="center"/>
            </w:pPr>
            <w:r>
              <w:rPr>
                <w:rFonts w:hint="eastAsia"/>
              </w:rPr>
              <w:t>谢聚军</w:t>
            </w:r>
          </w:p>
        </w:tc>
        <w:tc>
          <w:tcPr>
            <w:tcW w:w="850" w:type="dxa"/>
            <w:vAlign w:val="center"/>
          </w:tcPr>
          <w:p>
            <w:pPr>
              <w:pStyle w:val="4"/>
              <w:spacing w:line="240" w:lineRule="exact"/>
              <w:ind w:firstLine="0" w:firstLineChars="0"/>
              <w:jc w:val="center"/>
            </w:pPr>
            <w:r>
              <w:rPr>
                <w:rFonts w:hint="eastAsia"/>
              </w:rPr>
              <w:t>4</w:t>
            </w:r>
          </w:p>
        </w:tc>
        <w:tc>
          <w:tcPr>
            <w:tcW w:w="1118" w:type="dxa"/>
            <w:vAlign w:val="center"/>
          </w:tcPr>
          <w:p>
            <w:pPr>
              <w:pStyle w:val="4"/>
              <w:spacing w:line="240" w:lineRule="exact"/>
              <w:ind w:firstLine="0" w:firstLineChars="0"/>
              <w:jc w:val="center"/>
              <w:rPr>
                <w:color w:val="000000"/>
                <w:sz w:val="24"/>
                <w:szCs w:val="24"/>
              </w:rPr>
            </w:pPr>
            <w:r>
              <w:rPr>
                <w:color w:val="000000"/>
                <w:sz w:val="24"/>
                <w:szCs w:val="24"/>
              </w:rPr>
              <w:t>SCI-EXPANDED</w:t>
            </w:r>
            <w:r>
              <w:rPr>
                <w:rFonts w:hint="eastAsia"/>
                <w:color w:val="000000"/>
                <w:sz w:val="24"/>
                <w:szCs w:val="24"/>
              </w:rPr>
              <w:t>，</w:t>
            </w:r>
          </w:p>
          <w:p>
            <w:pPr>
              <w:pStyle w:val="4"/>
              <w:spacing w:line="240" w:lineRule="exact"/>
              <w:ind w:firstLine="0" w:firstLineChars="0"/>
              <w:jc w:val="center"/>
              <w:rPr>
                <w:color w:val="000000"/>
                <w:sz w:val="24"/>
                <w:szCs w:val="24"/>
              </w:rPr>
            </w:pPr>
          </w:p>
          <w:p>
            <w:pPr>
              <w:pStyle w:val="4"/>
              <w:spacing w:line="240" w:lineRule="exact"/>
              <w:ind w:firstLine="0" w:firstLineChars="0"/>
              <w:jc w:val="center"/>
              <w:rPr>
                <w:sz w:val="24"/>
                <w:szCs w:val="24"/>
              </w:rPr>
            </w:pPr>
            <w:r>
              <w:rPr>
                <w:sz w:val="24"/>
                <w:szCs w:val="24"/>
              </w:rPr>
              <w:t>CSCD</w:t>
            </w:r>
            <w:r>
              <w:rPr>
                <w:rFonts w:hint="eastAsia"/>
                <w:sz w:val="24"/>
                <w:szCs w:val="24"/>
              </w:rPr>
              <w:t>，</w:t>
            </w:r>
          </w:p>
          <w:p>
            <w:pPr>
              <w:pStyle w:val="4"/>
              <w:spacing w:line="240" w:lineRule="exact"/>
              <w:ind w:firstLine="0" w:firstLineChars="0"/>
              <w:jc w:val="center"/>
            </w:pPr>
          </w:p>
          <w:p>
            <w:pPr>
              <w:pStyle w:val="4"/>
              <w:spacing w:line="240" w:lineRule="exact"/>
              <w:ind w:firstLine="0" w:firstLineChars="0"/>
              <w:jc w:val="center"/>
            </w:pPr>
            <w:r>
              <w:rPr>
                <w:sz w:val="24"/>
                <w:szCs w:val="24"/>
              </w:rPr>
              <w:t>C</w:t>
            </w:r>
            <w:r>
              <w:rPr>
                <w:rFonts w:hint="eastAsia"/>
                <w:sz w:val="24"/>
                <w:szCs w:val="24"/>
              </w:rPr>
              <w:t>NKI</w:t>
            </w:r>
          </w:p>
        </w:tc>
        <w:tc>
          <w:tcPr>
            <w:tcW w:w="1178" w:type="dxa"/>
            <w:vAlign w:val="center"/>
          </w:tcPr>
          <w:p>
            <w:pPr>
              <w:pStyle w:val="4"/>
              <w:spacing w:line="240" w:lineRule="exact"/>
              <w:ind w:firstLine="0" w:firstLineChars="0"/>
              <w:jc w:val="center"/>
            </w:pPr>
            <w:r>
              <w:rPr>
                <w:rFonts w:hint="eastAsia"/>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851" w:hRule="atLeast"/>
          <w:jc w:val="center"/>
        </w:trPr>
        <w:tc>
          <w:tcPr>
            <w:tcW w:w="7060" w:type="dxa"/>
            <w:gridSpan w:val="7"/>
            <w:vAlign w:val="center"/>
          </w:tcPr>
          <w:p>
            <w:pPr>
              <w:pStyle w:val="4"/>
              <w:spacing w:line="240" w:lineRule="exact"/>
              <w:ind w:firstLine="0" w:firstLineChars="0"/>
              <w:jc w:val="center"/>
            </w:pPr>
            <w:r>
              <w:rPr>
                <w:rFonts w:hint="eastAsia"/>
              </w:rPr>
              <w:t>合计</w:t>
            </w:r>
          </w:p>
        </w:tc>
        <w:tc>
          <w:tcPr>
            <w:tcW w:w="850" w:type="dxa"/>
            <w:vAlign w:val="center"/>
          </w:tcPr>
          <w:p>
            <w:pPr>
              <w:pStyle w:val="4"/>
              <w:spacing w:line="240" w:lineRule="exact"/>
              <w:ind w:firstLine="0" w:firstLineChars="0"/>
              <w:jc w:val="center"/>
            </w:pPr>
            <w:r>
              <w:rPr>
                <w:rFonts w:hint="eastAsia"/>
              </w:rPr>
              <w:t>59</w:t>
            </w:r>
          </w:p>
        </w:tc>
        <w:tc>
          <w:tcPr>
            <w:tcW w:w="1118" w:type="dxa"/>
            <w:vAlign w:val="center"/>
          </w:tcPr>
          <w:p>
            <w:pPr>
              <w:pStyle w:val="4"/>
              <w:spacing w:line="240" w:lineRule="exact"/>
              <w:ind w:firstLine="0" w:firstLineChars="0"/>
              <w:jc w:val="center"/>
            </w:pPr>
          </w:p>
        </w:tc>
        <w:tc>
          <w:tcPr>
            <w:tcW w:w="1178" w:type="dxa"/>
            <w:vAlign w:val="center"/>
          </w:tcPr>
          <w:p>
            <w:pPr>
              <w:pStyle w:val="4"/>
              <w:spacing w:line="240" w:lineRule="exact"/>
              <w:ind w:firstLine="0" w:firstLineChars="0"/>
              <w:jc w:val="center"/>
            </w:pPr>
          </w:p>
        </w:tc>
      </w:tr>
    </w:tbl>
    <w:p>
      <w:pPr>
        <w:autoSpaceDE w:val="0"/>
        <w:autoSpaceDN w:val="0"/>
        <w:adjustRightInd w:val="0"/>
        <w:jc w:val="left"/>
        <w:rPr>
          <w:b/>
          <w:kern w:val="0"/>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2FF" w:usb1="420024FF" w:usb2="00000000" w:usb3="00000000" w:csb0="2000019F"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B1E05"/>
    <w:multiLevelType w:val="singleLevel"/>
    <w:tmpl w:val="4B6B1E0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F73"/>
    <w:rsid w:val="000237B7"/>
    <w:rsid w:val="0005150A"/>
    <w:rsid w:val="00062AF1"/>
    <w:rsid w:val="000B145B"/>
    <w:rsid w:val="000F126B"/>
    <w:rsid w:val="00103935"/>
    <w:rsid w:val="00104AAC"/>
    <w:rsid w:val="0014671F"/>
    <w:rsid w:val="00181A97"/>
    <w:rsid w:val="00197B88"/>
    <w:rsid w:val="001C7218"/>
    <w:rsid w:val="002579CE"/>
    <w:rsid w:val="00274C03"/>
    <w:rsid w:val="002B08B0"/>
    <w:rsid w:val="002C0E52"/>
    <w:rsid w:val="002C7864"/>
    <w:rsid w:val="002E69A8"/>
    <w:rsid w:val="002F2DF4"/>
    <w:rsid w:val="003329B9"/>
    <w:rsid w:val="003832F1"/>
    <w:rsid w:val="003C18F2"/>
    <w:rsid w:val="003D7914"/>
    <w:rsid w:val="00407304"/>
    <w:rsid w:val="0043657E"/>
    <w:rsid w:val="00446964"/>
    <w:rsid w:val="004B356C"/>
    <w:rsid w:val="00547654"/>
    <w:rsid w:val="005521FB"/>
    <w:rsid w:val="00552E64"/>
    <w:rsid w:val="005815BD"/>
    <w:rsid w:val="005B1564"/>
    <w:rsid w:val="00645DB4"/>
    <w:rsid w:val="006E1085"/>
    <w:rsid w:val="006F2C79"/>
    <w:rsid w:val="00701A69"/>
    <w:rsid w:val="007661E2"/>
    <w:rsid w:val="007D66A0"/>
    <w:rsid w:val="008027CF"/>
    <w:rsid w:val="0080399E"/>
    <w:rsid w:val="00804C22"/>
    <w:rsid w:val="00846A06"/>
    <w:rsid w:val="00884F69"/>
    <w:rsid w:val="008B0ABF"/>
    <w:rsid w:val="00906775"/>
    <w:rsid w:val="009127F3"/>
    <w:rsid w:val="00930AB4"/>
    <w:rsid w:val="009635B1"/>
    <w:rsid w:val="00970EA2"/>
    <w:rsid w:val="009743C5"/>
    <w:rsid w:val="00993F73"/>
    <w:rsid w:val="009979EA"/>
    <w:rsid w:val="009D3033"/>
    <w:rsid w:val="00A11B81"/>
    <w:rsid w:val="00A33BCE"/>
    <w:rsid w:val="00A46C10"/>
    <w:rsid w:val="00A5040F"/>
    <w:rsid w:val="00A543A0"/>
    <w:rsid w:val="00A56D1F"/>
    <w:rsid w:val="00A609D2"/>
    <w:rsid w:val="00AB246B"/>
    <w:rsid w:val="00AB4578"/>
    <w:rsid w:val="00B55B58"/>
    <w:rsid w:val="00BA2FBA"/>
    <w:rsid w:val="00BB3598"/>
    <w:rsid w:val="00BE6C02"/>
    <w:rsid w:val="00BF63BE"/>
    <w:rsid w:val="00C06148"/>
    <w:rsid w:val="00C14AD7"/>
    <w:rsid w:val="00C32234"/>
    <w:rsid w:val="00CA2E6F"/>
    <w:rsid w:val="00CC29DF"/>
    <w:rsid w:val="00D24540"/>
    <w:rsid w:val="00D3064E"/>
    <w:rsid w:val="00D41F96"/>
    <w:rsid w:val="00D82D2E"/>
    <w:rsid w:val="00DD79BA"/>
    <w:rsid w:val="00DF3963"/>
    <w:rsid w:val="00E02D0E"/>
    <w:rsid w:val="00E463A7"/>
    <w:rsid w:val="00E93DEE"/>
    <w:rsid w:val="00EE78D6"/>
    <w:rsid w:val="00F50577"/>
    <w:rsid w:val="00FE625F"/>
    <w:rsid w:val="133961C0"/>
    <w:rsid w:val="1F1D0BB3"/>
    <w:rsid w:val="2ABF7AAD"/>
    <w:rsid w:val="2BFA1494"/>
    <w:rsid w:val="3A213AA0"/>
    <w:rsid w:val="3D3D6C47"/>
    <w:rsid w:val="40477F73"/>
    <w:rsid w:val="4C915BA9"/>
    <w:rsid w:val="50ED068B"/>
    <w:rsid w:val="59996A05"/>
    <w:rsid w:val="5C9E4B62"/>
    <w:rsid w:val="5E4A5432"/>
    <w:rsid w:val="60B71C64"/>
    <w:rsid w:val="63BF7928"/>
    <w:rsid w:val="640F62EB"/>
    <w:rsid w:val="64AF5F80"/>
    <w:rsid w:val="650A4351"/>
    <w:rsid w:val="66FC6AD2"/>
    <w:rsid w:val="6D6738EF"/>
    <w:rsid w:val="6E876BBF"/>
    <w:rsid w:val="72B55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9"/>
    <w:qFormat/>
    <w:uiPriority w:val="0"/>
    <w:pPr>
      <w:keepNext/>
      <w:keepLines/>
      <w:spacing w:line="240" w:lineRule="atLeast"/>
      <w:jc w:val="center"/>
      <w:outlineLvl w:val="1"/>
    </w:pPr>
    <w:rPr>
      <w:rFonts w:eastAsia="黑体"/>
      <w:b/>
      <w:bCs/>
      <w:sz w:val="32"/>
      <w:szCs w:val="32"/>
    </w:rPr>
  </w:style>
  <w:style w:type="paragraph" w:styleId="3">
    <w:name w:val="heading 3"/>
    <w:basedOn w:val="1"/>
    <w:next w:val="1"/>
    <w:qFormat/>
    <w:uiPriority w:val="0"/>
    <w:pPr>
      <w:keepNext/>
      <w:keepLines/>
      <w:spacing w:line="560" w:lineRule="exact"/>
      <w:jc w:val="center"/>
      <w:outlineLvl w:val="2"/>
    </w:pPr>
    <w:rPr>
      <w:rFonts w:eastAsia="黑体"/>
      <w:bCs/>
      <w:sz w:val="32"/>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Plain Text"/>
    <w:basedOn w:val="1"/>
    <w:qFormat/>
    <w:uiPriority w:val="0"/>
    <w:pPr>
      <w:spacing w:line="400" w:lineRule="exact"/>
      <w:ind w:firstLine="420" w:firstLineChars="200"/>
    </w:pPr>
    <w:rPr>
      <w:bCs/>
      <w:szCs w:val="21"/>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标题 2 字符"/>
    <w:link w:val="2"/>
    <w:qFormat/>
    <w:locked/>
    <w:uiPriority w:val="0"/>
    <w:rPr>
      <w:rFonts w:eastAsia="黑体"/>
      <w:b/>
      <w:bCs/>
      <w:kern w:val="2"/>
      <w:sz w:val="32"/>
      <w:szCs w:val="32"/>
      <w:lang w:val="en-US" w:eastAsia="zh-CN" w:bidi="ar-SA"/>
    </w:rPr>
  </w:style>
  <w:style w:type="character" w:customStyle="1" w:styleId="10">
    <w:name w:val="页眉 字符"/>
    <w:link w:val="6"/>
    <w:qFormat/>
    <w:uiPriority w:val="0"/>
    <w:rPr>
      <w:kern w:val="2"/>
      <w:sz w:val="18"/>
      <w:szCs w:val="18"/>
    </w:rPr>
  </w:style>
  <w:style w:type="character" w:customStyle="1" w:styleId="11">
    <w:name w:val="页脚 字符"/>
    <w:link w:val="5"/>
    <w:qFormat/>
    <w:uiPriority w:val="0"/>
    <w:rPr>
      <w:kern w:val="2"/>
      <w:sz w:val="18"/>
      <w:szCs w:val="18"/>
    </w:rPr>
  </w:style>
  <w:style w:type="character" w:customStyle="1" w:styleId="12">
    <w:name w:val="apple-converted-space"/>
    <w:qFormat/>
    <w:uiPriority w:val="0"/>
  </w:style>
  <w:style w:type="character" w:customStyle="1" w:styleId="13">
    <w:name w:val="mjx_assistive_mathml"/>
    <w:qFormat/>
    <w:uiPriority w:val="0"/>
  </w:style>
  <w:style w:type="character" w:customStyle="1" w:styleId="14">
    <w:name w:val="mi"/>
    <w:qFormat/>
    <w:uiPriority w:val="0"/>
  </w:style>
  <w:style w:type="character" w:customStyle="1" w:styleId="15">
    <w:name w:val="mo"/>
    <w:qFormat/>
    <w:uiPriority w:val="0"/>
  </w:style>
  <w:style w:type="character" w:customStyle="1" w:styleId="16">
    <w:name w:val="m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486</Words>
  <Characters>2774</Characters>
  <Lines>23</Lines>
  <Paragraphs>6</Paragraphs>
  <TotalTime>0</TotalTime>
  <ScaleCrop>false</ScaleCrop>
  <LinksUpToDate>false</LinksUpToDate>
  <CharactersWithSpaces>3254</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2020-06-22T03:12:00Z</dcterms:created>
  <dc:creator>黄世朗</dc:creator>
  <cp:lastModifiedBy>科技处</cp:lastModifiedBy>
  <dcterms:modified xsi:type="dcterms:W3CDTF">2020-06-22T09:06:59Z</dcterms:modified>
  <dc:title>高等学校科学研究优秀成果奖（科学技术）推荐项目公示</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