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tabs>
          <w:tab w:val="left" w:pos="3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right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广西第六届大学生艺术展演活动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643" w:firstLineChars="200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高校美育改革创新优秀案例的相关要求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高校美育改革创新优秀案例是学校坚持目标导向和问题导</w:t>
      </w:r>
      <w:r>
        <w:rPr>
          <w:rFonts w:hint="eastAsia" w:asciiTheme="minorEastAsia" w:hAnsiTheme="minorEastAsia" w:eastAsiaTheme="minorEastAsia" w:cstheme="minorEastAsia"/>
          <w:spacing w:val="-11"/>
          <w:w w:val="95"/>
          <w:sz w:val="28"/>
          <w:szCs w:val="28"/>
        </w:rPr>
        <w:t xml:space="preserve">向，在美育改革创新实践中所形成的具有引领性、突破性、示范 </w:t>
      </w:r>
      <w:r>
        <w:rPr>
          <w:rFonts w:hint="eastAsia" w:asciiTheme="minorEastAsia" w:hAnsiTheme="minorEastAsia" w:eastAsiaTheme="minorEastAsia" w:cstheme="minorEastAsia"/>
          <w:spacing w:val="-11"/>
          <w:sz w:val="28"/>
          <w:szCs w:val="28"/>
        </w:rPr>
        <w:t>性的做法、举措和经验。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643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一、内容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1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12"/>
          <w:sz w:val="28"/>
          <w:szCs w:val="28"/>
        </w:rPr>
        <w:t>贯彻落实《国务院办公厅关于全面加强和改进学校美育工作的意见</w:t>
      </w:r>
      <w:r>
        <w:rPr>
          <w:rFonts w:hint="eastAsia" w:asciiTheme="minorEastAsia" w:hAnsiTheme="minorEastAsia" w:eastAsiaTheme="minorEastAsia" w:cstheme="minorEastAsia"/>
          <w:spacing w:val="-18"/>
          <w:sz w:val="28"/>
          <w:szCs w:val="28"/>
        </w:rPr>
        <w:t>》《教育部关于切实加强新时代高等学校美育工作的意见》要求，重点征集如下几个专题内容的优秀案例。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（一）高校美育教师队伍建设。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（二）高校公共艺术课程建设与教学改革。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（三）高校专业艺术人才培养模式改革创新。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（四）高校艺术师范教育教学改革。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3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w w:val="95"/>
          <w:sz w:val="28"/>
          <w:szCs w:val="28"/>
        </w:rPr>
        <w:t>（五）高校中华优秀传统文化艺术传承创新。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3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w w:val="95"/>
          <w:sz w:val="28"/>
          <w:szCs w:val="28"/>
        </w:rPr>
        <w:t>（六）高校学生艺术社团及实践工作坊建设。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（七）协同育人机制构建。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（八）高校校园文化环境育人。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（九）高校美育服务社会路径及实施。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（十）高校美育保障机制构建。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pgSz w:w="11910" w:h="16840"/>
          <w:pgMar w:top="1580" w:right="1200" w:bottom="1720" w:left="1480" w:header="0" w:footer="1537" w:gutter="0"/>
          <w:pgNumType w:fmt="chineseCounting"/>
        </w:sect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（十一）高校美育评价体系建设。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643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二、原则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（一</w:t>
      </w:r>
      <w:r>
        <w:rPr>
          <w:rFonts w:hint="eastAsia" w:asciiTheme="minorEastAsia" w:hAnsiTheme="minorEastAsia" w:eastAsiaTheme="minorEastAsia" w:cstheme="minorEastAsia"/>
          <w:spacing w:val="-29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pacing w:val="-11"/>
          <w:sz w:val="28"/>
          <w:szCs w:val="28"/>
        </w:rPr>
        <w:t>真实性。因地因校制宜、从实际出发，充分体现时代要求和人民需求，禁止虚构、杜撰和抄袭。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（二</w:t>
      </w:r>
      <w:r>
        <w:rPr>
          <w:rFonts w:hint="eastAsia" w:asciiTheme="minorEastAsia" w:hAnsiTheme="minorEastAsia" w:eastAsiaTheme="minorEastAsia" w:cstheme="minorEastAsia"/>
          <w:spacing w:val="-39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</w:rPr>
        <w:t>创新性。以体制机制创新为突破口，为推进高校美育改革发展进行积极探索，方法上有创新，措施上有亮点。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（三）实效性。对高校美育改革发展具有明显的推进作用， 取得积极、良好的效果，得到广泛关注和认可。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3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w w:val="95"/>
          <w:sz w:val="28"/>
          <w:szCs w:val="28"/>
        </w:rPr>
        <w:t>（四</w:t>
      </w:r>
      <w:r>
        <w:rPr>
          <w:rFonts w:hint="eastAsia" w:asciiTheme="minorEastAsia" w:hAnsiTheme="minorEastAsia" w:eastAsiaTheme="minorEastAsia" w:cstheme="minorEastAsia"/>
          <w:spacing w:val="-29"/>
          <w:w w:val="95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pacing w:val="-9"/>
          <w:w w:val="95"/>
          <w:sz w:val="28"/>
          <w:szCs w:val="28"/>
        </w:rPr>
        <w:t xml:space="preserve">典型性。具有一定的代表性，对其他地区、学校具有 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</w:rPr>
        <w:t>借鉴意义和应用价值。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643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三、报送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（一）内容要求。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案例一般应包括背景、做法、成效、探讨等要素。应主题突出、层次分明、特色鲜明、资料翔实、语言生动，富有感染力。案例摘要 300 字左右，正文不超过 5000 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（二）格式要求。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Chars="0" w:right="0" w:rightChars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A4</w:t>
      </w:r>
      <w:r>
        <w:rPr>
          <w:rFonts w:hint="eastAsia" w:asciiTheme="minorEastAsia" w:hAnsiTheme="minorEastAsia" w:eastAsiaTheme="minorEastAsia" w:cstheme="minorEastAsia"/>
          <w:spacing w:val="-26"/>
          <w:sz w:val="28"/>
          <w:szCs w:val="28"/>
        </w:rPr>
        <w:t xml:space="preserve"> 纸张，上边距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3.8</w:t>
      </w:r>
      <w:r>
        <w:rPr>
          <w:rFonts w:hint="eastAsia" w:asciiTheme="minorEastAsia" w:hAnsiTheme="minorEastAsia" w:eastAsiaTheme="minorEastAsia" w:cstheme="minorEastAsia"/>
          <w:spacing w:val="-26"/>
          <w:sz w:val="28"/>
          <w:szCs w:val="28"/>
        </w:rPr>
        <w:t xml:space="preserve"> 厘米，下边距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3.2</w:t>
      </w:r>
      <w:r>
        <w:rPr>
          <w:rFonts w:hint="eastAsia" w:asciiTheme="minorEastAsia" w:hAnsiTheme="minorEastAsia" w:eastAsiaTheme="minorEastAsia" w:cstheme="minorEastAsia"/>
          <w:spacing w:val="-26"/>
          <w:sz w:val="28"/>
          <w:szCs w:val="28"/>
        </w:rPr>
        <w:t xml:space="preserve"> 厘米</w:t>
      </w:r>
      <w:r>
        <w:rPr>
          <w:rFonts w:hint="eastAsia" w:asciiTheme="minorEastAsia" w:hAnsiTheme="minorEastAsia" w:eastAsiaTheme="minorEastAsia" w:cstheme="minorEastAsia"/>
          <w:spacing w:val="-26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pacing w:val="-26"/>
          <w:sz w:val="28"/>
          <w:szCs w:val="28"/>
        </w:rPr>
        <w:t xml:space="preserve">左边距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3.5厘米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右 边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2.5 厘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米。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2.正文主标题居中排，使用华文中宋二号字。主标题的段后</w:t>
      </w:r>
      <w:r>
        <w:rPr>
          <w:rFonts w:hint="eastAsia" w:asciiTheme="minorEastAsia" w:hAnsiTheme="minorEastAsia" w:eastAsiaTheme="minorEastAsia" w:cstheme="minorEastAsia"/>
          <w:spacing w:val="-20"/>
          <w:sz w:val="28"/>
          <w:szCs w:val="28"/>
        </w:rPr>
        <w:t xml:space="preserve">距设为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0.5</w:t>
      </w:r>
      <w:r>
        <w:rPr>
          <w:rFonts w:hint="eastAsia" w:asciiTheme="minorEastAsia" w:hAnsiTheme="minorEastAsia" w:eastAsiaTheme="minorEastAsia" w:cstheme="minorEastAsia"/>
          <w:spacing w:val="-21"/>
          <w:sz w:val="28"/>
          <w:szCs w:val="28"/>
        </w:rPr>
        <w:t xml:space="preserve"> 行。副标题另起一行，使用破折号加宋体小二号字如：</w:t>
      </w:r>
      <w:r>
        <w:rPr>
          <w:rFonts w:hint="eastAsia" w:asciiTheme="minorEastAsia" w:hAnsiTheme="minorEastAsia" w:eastAsiaTheme="minorEastAsia" w:cstheme="minorEastAsia"/>
          <w:spacing w:val="-21"/>
          <w:sz w:val="28"/>
          <w:szCs w:val="28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pacing w:val="1"/>
          <w:w w:val="111"/>
          <w:sz w:val="28"/>
          <w:szCs w:val="28"/>
        </w:rPr>
        <w:t>——</w:t>
      </w:r>
      <w:r>
        <w:rPr>
          <w:rFonts w:hint="eastAsia" w:asciiTheme="minorEastAsia" w:hAnsiTheme="minorEastAsia" w:eastAsiaTheme="minorEastAsia" w:cstheme="minorEastAsia"/>
          <w:spacing w:val="-2"/>
          <w:w w:val="99"/>
          <w:sz w:val="28"/>
          <w:szCs w:val="28"/>
        </w:rPr>
        <w:t>*</w:t>
      </w:r>
      <w:r>
        <w:rPr>
          <w:rFonts w:hint="eastAsia" w:asciiTheme="minorEastAsia" w:hAnsiTheme="minorEastAsia" w:eastAsiaTheme="minorEastAsia" w:cstheme="minorEastAsia"/>
          <w:w w:val="99"/>
          <w:sz w:val="28"/>
          <w:szCs w:val="28"/>
        </w:rPr>
        <w:t>**</w:t>
      </w:r>
      <w:r>
        <w:rPr>
          <w:rFonts w:hint="eastAsia" w:asciiTheme="minorEastAsia" w:hAnsiTheme="minorEastAsia" w:eastAsiaTheme="minorEastAsia" w:cstheme="minorEastAsia"/>
          <w:spacing w:val="-2"/>
          <w:w w:val="99"/>
          <w:sz w:val="28"/>
          <w:szCs w:val="28"/>
        </w:rPr>
        <w:t>*</w:t>
      </w:r>
      <w:r>
        <w:rPr>
          <w:rFonts w:hint="eastAsia" w:asciiTheme="minorEastAsia" w:hAnsiTheme="minorEastAsia" w:eastAsiaTheme="minorEastAsia" w:cstheme="minorEastAsia"/>
          <w:w w:val="99"/>
          <w:sz w:val="28"/>
          <w:szCs w:val="28"/>
        </w:rPr>
        <w:t>*</w:t>
      </w:r>
      <w:r>
        <w:rPr>
          <w:rFonts w:hint="eastAsia" w:asciiTheme="minorEastAsia" w:hAnsiTheme="minorEastAsia" w:eastAsiaTheme="minorEastAsia" w:cstheme="minorEastAsia"/>
          <w:spacing w:val="-2"/>
          <w:w w:val="99"/>
          <w:sz w:val="28"/>
          <w:szCs w:val="28"/>
        </w:rPr>
        <w:t>*</w:t>
      </w:r>
      <w:r>
        <w:rPr>
          <w:rFonts w:hint="eastAsia" w:asciiTheme="minorEastAsia" w:hAnsiTheme="minorEastAsia" w:eastAsiaTheme="minorEastAsia" w:cstheme="minorEastAsia"/>
          <w:spacing w:val="-2"/>
          <w:w w:val="99"/>
          <w:sz w:val="28"/>
          <w:szCs w:val="28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w w:val="99"/>
          <w:sz w:val="28"/>
          <w:szCs w:val="28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w w:val="99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3.正文一级标题使用黑体三号字，序号使用汉字加顿号如：</w:t>
      </w:r>
      <w:r>
        <w:rPr>
          <w:rFonts w:hint="eastAsia" w:asciiTheme="minorEastAsia" w:hAnsiTheme="minorEastAsia" w:eastAsiaTheme="minorEastAsia" w:cstheme="minorEastAsia"/>
          <w:w w:val="105"/>
          <w:sz w:val="28"/>
          <w:szCs w:val="28"/>
        </w:rPr>
        <w:t>“一、”</w:t>
      </w:r>
      <w:r>
        <w:rPr>
          <w:rFonts w:hint="eastAsia" w:asciiTheme="minorEastAsia" w:hAnsiTheme="minorEastAsia" w:eastAsiaTheme="minorEastAsia" w:cstheme="minorEastAsia"/>
          <w:w w:val="105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w w:val="105"/>
          <w:sz w:val="28"/>
          <w:szCs w:val="28"/>
        </w:rPr>
        <w:t>二级标题使用楷体三号字，序号使用汉字加括号如：</w:t>
      </w:r>
      <w:r>
        <w:rPr>
          <w:rFonts w:hint="eastAsia" w:asciiTheme="minorEastAsia" w:hAnsiTheme="minorEastAsia" w:eastAsiaTheme="minorEastAsia" w:cstheme="minorEastAsia"/>
          <w:w w:val="105"/>
          <w:sz w:val="28"/>
          <w:szCs w:val="28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w w:val="99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spacing w:val="2"/>
          <w:w w:val="99"/>
          <w:sz w:val="28"/>
          <w:szCs w:val="28"/>
        </w:rPr>
        <w:t>一</w:t>
      </w:r>
      <w:r>
        <w:rPr>
          <w:rFonts w:hint="eastAsia" w:asciiTheme="minorEastAsia" w:hAnsiTheme="minorEastAsia" w:eastAsiaTheme="minorEastAsia" w:cstheme="minorEastAsia"/>
          <w:spacing w:val="-80"/>
          <w:w w:val="99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pacing w:val="-80"/>
          <w:w w:val="99"/>
          <w:sz w:val="28"/>
          <w:szCs w:val="28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pacing w:val="-13"/>
          <w:w w:val="99"/>
          <w:sz w:val="28"/>
          <w:szCs w:val="28"/>
        </w:rPr>
        <w:t>。三级标题使用仿宋三号字，序号使用三号</w:t>
      </w:r>
      <w:r>
        <w:rPr>
          <w:rFonts w:hint="eastAsia" w:asciiTheme="minorEastAsia" w:hAnsiTheme="minorEastAsia" w:eastAsiaTheme="minorEastAsia" w:cstheme="minorEastAsia"/>
          <w:spacing w:val="-77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w w:val="99"/>
          <w:sz w:val="28"/>
          <w:szCs w:val="28"/>
        </w:rPr>
        <w:t>T</w:t>
      </w:r>
      <w:r>
        <w:rPr>
          <w:rFonts w:hint="eastAsia" w:asciiTheme="minorEastAsia" w:hAnsiTheme="minorEastAsia" w:eastAsiaTheme="minorEastAsia" w:cstheme="minorEastAsia"/>
          <w:w w:val="99"/>
          <w:sz w:val="28"/>
          <w:szCs w:val="28"/>
        </w:rPr>
        <w:t>im</w:t>
      </w:r>
      <w:r>
        <w:rPr>
          <w:rFonts w:hint="eastAsia" w:asciiTheme="minorEastAsia" w:hAnsiTheme="minorEastAsia" w:eastAsiaTheme="minorEastAsia" w:cstheme="minorEastAsia"/>
          <w:spacing w:val="-2"/>
          <w:w w:val="99"/>
          <w:sz w:val="28"/>
          <w:szCs w:val="28"/>
        </w:rPr>
        <w:t>e</w:t>
      </w:r>
      <w:r>
        <w:rPr>
          <w:rFonts w:hint="eastAsia" w:asciiTheme="minorEastAsia" w:hAnsiTheme="minorEastAsia" w:eastAsiaTheme="minorEastAsia" w:cstheme="minorEastAsia"/>
          <w:w w:val="99"/>
          <w:sz w:val="28"/>
          <w:szCs w:val="28"/>
        </w:rPr>
        <w:t>s</w:t>
      </w:r>
      <w:r>
        <w:rPr>
          <w:rFonts w:hint="eastAsia" w:asciiTheme="minorEastAsia" w:hAnsiTheme="minorEastAsia" w:eastAsiaTheme="minorEastAsia" w:cstheme="minorEastAsia"/>
          <w:spacing w:val="-4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w w:val="99"/>
          <w:sz w:val="28"/>
          <w:szCs w:val="28"/>
        </w:rPr>
        <w:t>N</w:t>
      </w:r>
      <w:r>
        <w:rPr>
          <w:rFonts w:hint="eastAsia" w:asciiTheme="minorEastAsia" w:hAnsiTheme="minorEastAsia" w:eastAsiaTheme="minorEastAsia" w:cstheme="minorEastAsia"/>
          <w:spacing w:val="-2"/>
          <w:w w:val="99"/>
          <w:sz w:val="28"/>
          <w:szCs w:val="28"/>
        </w:rPr>
        <w:t>e</w:t>
      </w:r>
      <w:r>
        <w:rPr>
          <w:rFonts w:hint="eastAsia" w:asciiTheme="minorEastAsia" w:hAnsiTheme="minorEastAsia" w:eastAsiaTheme="minorEastAsia" w:cstheme="minorEastAsia"/>
          <w:w w:val="99"/>
          <w:sz w:val="28"/>
          <w:szCs w:val="28"/>
        </w:rPr>
        <w:t>w</w:t>
      </w:r>
      <w:r>
        <w:rPr>
          <w:rFonts w:hint="eastAsia" w:asciiTheme="minorEastAsia" w:hAnsiTheme="minorEastAsia" w:eastAsiaTheme="minorEastAsia" w:cstheme="minorEastAsia"/>
          <w:w w:val="99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"/>
          <w:w w:val="99"/>
          <w:sz w:val="28"/>
          <w:szCs w:val="28"/>
        </w:rPr>
        <w:t>Roma</w:t>
      </w:r>
      <w:r>
        <w:rPr>
          <w:rFonts w:hint="eastAsia" w:asciiTheme="minorEastAsia" w:hAnsiTheme="minorEastAsia" w:eastAsiaTheme="minorEastAsia" w:cstheme="minorEastAsia"/>
          <w:w w:val="99"/>
          <w:sz w:val="28"/>
          <w:szCs w:val="28"/>
        </w:rPr>
        <w:t>n</w:t>
      </w:r>
      <w:r>
        <w:rPr>
          <w:rFonts w:hint="eastAsia" w:asciiTheme="minorEastAsia" w:hAnsiTheme="minorEastAsia" w:eastAsiaTheme="minorEastAsia" w:cstheme="minorEastAsia"/>
          <w:spacing w:val="-83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w w:val="99"/>
          <w:sz w:val="28"/>
          <w:szCs w:val="28"/>
        </w:rPr>
        <w:t>字体的阿拉伯数字加点如：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right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w w:val="153"/>
          <w:sz w:val="28"/>
          <w:szCs w:val="28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w w:val="153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spacing w:val="-2"/>
          <w:w w:val="99"/>
          <w:sz w:val="28"/>
          <w:szCs w:val="28"/>
        </w:rPr>
        <w:t>.</w:t>
      </w:r>
      <w:r>
        <w:rPr>
          <w:rFonts w:hint="eastAsia" w:asciiTheme="minorEastAsia" w:hAnsiTheme="minorEastAsia" w:eastAsiaTheme="minorEastAsia" w:cstheme="minorEastAsia"/>
          <w:spacing w:val="-2"/>
          <w:w w:val="99"/>
          <w:sz w:val="28"/>
          <w:szCs w:val="28"/>
          <w:lang w:eastAsia="zh-CN"/>
        </w:rPr>
        <w:t>”。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pacing w:val="-9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正文使用仿宋三号字，首行缩进两字符，行距设置为 1.5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</w:rPr>
        <w:t xml:space="preserve">倍。正文须配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5—10</w:t>
      </w:r>
      <w:r>
        <w:rPr>
          <w:rFonts w:hint="eastAsia" w:asciiTheme="minorEastAsia" w:hAnsiTheme="minorEastAsia" w:eastAsiaTheme="minorEastAsia" w:cstheme="minorEastAsia"/>
          <w:spacing w:val="-14"/>
          <w:sz w:val="28"/>
          <w:szCs w:val="28"/>
        </w:rPr>
        <w:t xml:space="preserve"> 幅插图，图片下方附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50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</w:rPr>
        <w:t xml:space="preserve"> 字以内说明，须注明拍摄者。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24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pacing w:val="-9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  <w:lang w:val="en-US" w:eastAsia="zh-CN"/>
        </w:rPr>
        <w:t>以学院为单位，统一加盖学院公章，报送至指定邮箱和地点。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643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、评选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528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  <w:sectPr>
          <w:pgSz w:w="11910" w:h="16840"/>
          <w:pgMar w:top="1580" w:right="1200" w:bottom="1720" w:left="1480" w:header="0" w:footer="1537" w:gutter="0"/>
          <w:pgNumType w:fmt="chineseCounting"/>
        </w:sectPr>
      </w:pPr>
      <w:r>
        <w:rPr>
          <w:rFonts w:hint="eastAsia" w:asciiTheme="minorEastAsia" w:hAnsiTheme="minorEastAsia" w:eastAsiaTheme="minorEastAsia" w:cstheme="minorEastAsia"/>
          <w:spacing w:val="-8"/>
          <w:sz w:val="28"/>
          <w:szCs w:val="28"/>
        </w:rPr>
        <w:t>在广泛征集案例的基础上，</w:t>
      </w:r>
      <w:r>
        <w:rPr>
          <w:rFonts w:hint="eastAsia" w:asciiTheme="minorEastAsia" w:hAnsiTheme="minorEastAsia" w:eastAsiaTheme="minorEastAsia" w:cstheme="minorEastAsia"/>
          <w:spacing w:val="-8"/>
          <w:sz w:val="28"/>
          <w:szCs w:val="28"/>
          <w:lang w:val="en-US" w:eastAsia="zh-CN"/>
        </w:rPr>
        <w:t>组委会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8"/>
          <w:sz w:val="28"/>
          <w:szCs w:val="28"/>
        </w:rPr>
        <w:t>组织</w:t>
      </w:r>
      <w:r>
        <w:rPr>
          <w:rFonts w:hint="eastAsia" w:asciiTheme="minorEastAsia" w:hAnsiTheme="minorEastAsia" w:eastAsiaTheme="minorEastAsia" w:cstheme="minorEastAsia"/>
          <w:spacing w:val="-8"/>
          <w:sz w:val="28"/>
          <w:szCs w:val="28"/>
          <w:lang w:val="en-US" w:eastAsia="zh-CN"/>
        </w:rPr>
        <w:t>专家进行</w:t>
      </w:r>
      <w:r>
        <w:rPr>
          <w:rFonts w:hint="eastAsia" w:asciiTheme="minorEastAsia" w:hAnsiTheme="minorEastAsia" w:eastAsiaTheme="minorEastAsia" w:cstheme="minorEastAsia"/>
          <w:spacing w:val="-8"/>
          <w:sz w:val="28"/>
          <w:szCs w:val="28"/>
        </w:rPr>
        <w:t>案例评选，</w:t>
      </w:r>
      <w:r>
        <w:rPr>
          <w:rFonts w:hint="eastAsia" w:asciiTheme="minorEastAsia" w:hAnsiTheme="minorEastAsia" w:eastAsiaTheme="minorEastAsia" w:cstheme="minorEastAsia"/>
          <w:spacing w:val="-8"/>
          <w:sz w:val="28"/>
          <w:szCs w:val="28"/>
          <w:lang w:val="en-US" w:eastAsia="zh-CN"/>
        </w:rPr>
        <w:t>评选出优秀的案例参加广西第六届大学生艺术展演活动。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Noto Sans Mono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07208E"/>
    <w:multiLevelType w:val="singleLevel"/>
    <w:tmpl w:val="DD07208E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E3D06"/>
    <w:rsid w:val="18434822"/>
    <w:rsid w:val="3471606D"/>
    <w:rsid w:val="5EE22A4D"/>
    <w:rsid w:val="7587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Noto Sans Mono CJK JP Regular" w:hAnsi="Noto Sans Mono CJK JP Regular" w:eastAsia="Noto Sans Mono CJK JP Regular" w:cs="Noto Sans Mono CJK JP Regular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Noto Sans Mono CJK JP Regular" w:hAnsi="Noto Sans Mono CJK JP Regular" w:eastAsia="Noto Sans Mono CJK JP Regular" w:cs="Noto Sans Mono CJK JP Regular"/>
      <w:sz w:val="32"/>
      <w:szCs w:val="32"/>
      <w:lang w:val="zh-CN" w:eastAsia="zh-CN" w:bidi="zh-CN"/>
    </w:rPr>
  </w:style>
  <w:style w:type="paragraph" w:styleId="5">
    <w:name w:val="List Paragraph"/>
    <w:basedOn w:val="1"/>
    <w:qFormat/>
    <w:uiPriority w:val="1"/>
    <w:pPr>
      <w:spacing w:line="560" w:lineRule="exact"/>
      <w:ind w:left="1071" w:hanging="321"/>
    </w:pPr>
    <w:rPr>
      <w:rFonts w:ascii="Noto Sans Mono CJK JP Regular" w:hAnsi="Noto Sans Mono CJK JP Regular" w:eastAsia="Noto Sans Mono CJK JP Regular" w:cs="Noto Sans Mono CJK JP Regular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2020-04-05T02:30:01Z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