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sz w:val="72"/>
          <w:szCs w:val="72"/>
        </w:rPr>
      </w:pPr>
      <w:r>
        <w:rPr>
          <w:rFonts w:asciiTheme="minorEastAsia" w:hAnsiTheme="minorEastAsia"/>
          <w:sz w:val="72"/>
          <w:szCs w:val="72"/>
        </w:rPr>
        <w:t>云杰URP智慧</w:t>
      </w:r>
      <w:r>
        <w:rPr>
          <w:rFonts w:cs="宋体" w:asciiTheme="minorEastAsia" w:hAnsiTheme="minorEastAsia"/>
          <w:sz w:val="72"/>
          <w:szCs w:val="72"/>
        </w:rPr>
        <w:t>业务</w:t>
      </w:r>
      <w:r>
        <w:rPr>
          <w:rFonts w:asciiTheme="minorEastAsia" w:hAnsiTheme="minorEastAsia"/>
          <w:sz w:val="72"/>
          <w:szCs w:val="72"/>
        </w:rPr>
        <w:t>系统</w:t>
      </w:r>
    </w:p>
    <w:p>
      <w:pPr>
        <w:jc w:val="center"/>
        <w:rPr>
          <w:rFonts w:asciiTheme="minorEastAsia" w:hAnsiTheme="minorEastAsia"/>
          <w:sz w:val="32"/>
          <w:szCs w:val="32"/>
        </w:rPr>
      </w:pPr>
    </w:p>
    <w:p>
      <w:pPr>
        <w:jc w:val="center"/>
        <w:rPr>
          <w:rFonts w:asciiTheme="minorEastAsia" w:hAnsiTheme="minorEastAsia"/>
          <w:sz w:val="48"/>
          <w:szCs w:val="48"/>
        </w:rPr>
      </w:pPr>
      <w:r>
        <w:rPr>
          <w:rFonts w:hint="eastAsia" w:asciiTheme="minorEastAsia" w:hAnsiTheme="minorEastAsia"/>
          <w:sz w:val="48"/>
          <w:szCs w:val="48"/>
        </w:rPr>
        <w:t>合同管理系统</w:t>
      </w:r>
    </w:p>
    <w:p>
      <w:pPr>
        <w:jc w:val="center"/>
        <w:rPr>
          <w:rFonts w:asciiTheme="minorEastAsia" w:hAnsiTheme="minorEastAsia"/>
          <w:sz w:val="32"/>
          <w:szCs w:val="32"/>
        </w:rPr>
      </w:pPr>
    </w:p>
    <w:p>
      <w:pPr>
        <w:jc w:val="center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操作说明书</w:t>
      </w:r>
    </w:p>
    <w:p>
      <w:pPr>
        <w:jc w:val="center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（普通用户）</w:t>
      </w:r>
    </w:p>
    <w:p>
      <w:pPr>
        <w:jc w:val="center"/>
        <w:rPr>
          <w:rFonts w:asciiTheme="minorEastAsia" w:hAnsiTheme="minorEastAsia"/>
          <w:sz w:val="32"/>
          <w:szCs w:val="32"/>
        </w:rPr>
      </w:pPr>
    </w:p>
    <w:p>
      <w:pPr>
        <w:jc w:val="center"/>
        <w:rPr>
          <w:rFonts w:asciiTheme="minorEastAsia" w:hAnsiTheme="minorEastAsia"/>
          <w:sz w:val="52"/>
          <w:szCs w:val="52"/>
        </w:rPr>
      </w:pPr>
      <w:r>
        <w:rPr>
          <w:rFonts w:asciiTheme="minorEastAsia" w:hAnsiTheme="minorEastAsia"/>
          <w:kern w:val="0"/>
          <w:sz w:val="52"/>
          <w:szCs w:val="52"/>
        </w:rPr>
        <w:drawing>
          <wp:inline distT="0" distB="0" distL="114300" distR="114300">
            <wp:extent cx="1228725" cy="12382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/>
          <w:sz w:val="52"/>
          <w:szCs w:val="52"/>
        </w:rPr>
      </w:pPr>
    </w:p>
    <w:p>
      <w:pPr>
        <w:rPr>
          <w:rFonts w:asciiTheme="minorEastAsia" w:hAnsiTheme="minorEastAsia"/>
          <w:sz w:val="52"/>
          <w:szCs w:val="52"/>
        </w:rPr>
      </w:pPr>
    </w:p>
    <w:p>
      <w:pPr>
        <w:rPr>
          <w:rFonts w:asciiTheme="minorEastAsia" w:hAnsiTheme="minorEastAsia"/>
          <w:sz w:val="52"/>
          <w:szCs w:val="52"/>
        </w:rPr>
      </w:pPr>
    </w:p>
    <w:p>
      <w:pPr>
        <w:rPr>
          <w:rFonts w:asciiTheme="minorEastAsia" w:hAnsiTheme="minorEastAsia"/>
          <w:sz w:val="52"/>
          <w:szCs w:val="52"/>
        </w:rPr>
      </w:pPr>
    </w:p>
    <w:p>
      <w:pPr>
        <w:rPr>
          <w:rFonts w:asciiTheme="minorEastAsia" w:hAnsiTheme="minorEastAsia"/>
          <w:sz w:val="52"/>
          <w:szCs w:val="52"/>
        </w:rPr>
      </w:pPr>
    </w:p>
    <w:p>
      <w:pPr>
        <w:rPr>
          <w:rFonts w:asciiTheme="minorEastAsia" w:hAnsiTheme="minorEastAsia"/>
          <w:sz w:val="52"/>
          <w:szCs w:val="52"/>
        </w:rPr>
      </w:pPr>
    </w:p>
    <w:p>
      <w:pPr>
        <w:jc w:val="center"/>
        <w:rPr>
          <w:rFonts w:asciiTheme="minorEastAsia" w:hAnsiTheme="minorEastAsia"/>
          <w:sz w:val="36"/>
          <w:szCs w:val="36"/>
        </w:rPr>
      </w:pPr>
      <w:r>
        <w:rPr>
          <w:rFonts w:asciiTheme="minorEastAsia" w:hAnsiTheme="minorEastAsia"/>
          <w:sz w:val="36"/>
          <w:szCs w:val="36"/>
        </w:rPr>
        <w:t>广西</w:t>
      </w:r>
      <w:r>
        <w:rPr>
          <w:rFonts w:hint="eastAsia" w:asciiTheme="minorEastAsia" w:hAnsiTheme="minorEastAsia"/>
          <w:sz w:val="36"/>
          <w:szCs w:val="36"/>
        </w:rPr>
        <w:t>师范大学</w:t>
      </w:r>
    </w:p>
    <w:p>
      <w:pPr>
        <w:jc w:val="center"/>
        <w:rPr>
          <w:rFonts w:asciiTheme="minorEastAsia" w:hAnsiTheme="minorEastAsia"/>
          <w:sz w:val="36"/>
          <w:szCs w:val="36"/>
        </w:rPr>
      </w:pPr>
      <w:r>
        <w:rPr>
          <w:rFonts w:asciiTheme="minorEastAsia" w:hAnsiTheme="minorEastAsia"/>
          <w:sz w:val="36"/>
          <w:szCs w:val="36"/>
        </w:rPr>
        <w:t>2021年12月</w:t>
      </w:r>
    </w:p>
    <w:p/>
    <w:p/>
    <w:sdt>
      <w:sdtPr>
        <w:rPr>
          <w:rFonts w:asciiTheme="minorHAnsi" w:hAnsiTheme="minorHAnsi" w:eastAsiaTheme="minorEastAsia" w:cstheme="minorBidi"/>
          <w:color w:val="auto"/>
          <w:kern w:val="2"/>
          <w:sz w:val="21"/>
          <w:szCs w:val="22"/>
          <w:lang w:val="zh-CN"/>
        </w:rPr>
        <w:id w:val="143784379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b/>
          <w:bCs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22"/>
            <w:jc w:val="center"/>
          </w:pPr>
          <w:r>
            <w:rPr>
              <w:lang w:val="zh-CN"/>
            </w:rPr>
            <w:t>目录</w:t>
          </w:r>
        </w:p>
        <w:p>
          <w:pPr>
            <w:pStyle w:val="10"/>
            <w:tabs>
              <w:tab w:val="right" w:leader="dot" w:pos="8296"/>
            </w:tabs>
          </w:pPr>
          <w:r>
            <w:rPr>
              <w:rFonts w:ascii="宋体" w:hAnsi="宋体" w:eastAsia="宋体"/>
              <w:sz w:val="24"/>
              <w:szCs w:val="28"/>
            </w:rPr>
            <w:fldChar w:fldCharType="begin"/>
          </w:r>
          <w:r>
            <w:rPr>
              <w:rFonts w:ascii="宋体" w:hAnsi="宋体" w:eastAsia="宋体"/>
              <w:sz w:val="24"/>
              <w:szCs w:val="28"/>
            </w:rPr>
            <w:instrText xml:space="preserve"> TOC \o "1-3" \h \z \u </w:instrText>
          </w:r>
          <w:r>
            <w:rPr>
              <w:rFonts w:ascii="宋体" w:hAnsi="宋体" w:eastAsia="宋体"/>
              <w:sz w:val="24"/>
              <w:szCs w:val="28"/>
            </w:rPr>
            <w:fldChar w:fldCharType="separate"/>
          </w:r>
          <w:r>
            <w:fldChar w:fldCharType="begin"/>
          </w:r>
          <w:r>
            <w:instrText xml:space="preserve"> HYPERLINK \l "_Toc91253932" </w:instrText>
          </w:r>
          <w:r>
            <w:fldChar w:fldCharType="separate"/>
          </w:r>
          <w:r>
            <w:rPr>
              <w:rStyle w:val="15"/>
            </w:rPr>
            <w:t>1、用户登录</w:t>
          </w:r>
          <w:r>
            <w:tab/>
          </w:r>
          <w:r>
            <w:fldChar w:fldCharType="begin"/>
          </w:r>
          <w:r>
            <w:instrText xml:space="preserve"> PAGEREF _Toc91253932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"_Toc91253933" </w:instrText>
          </w:r>
          <w:r>
            <w:fldChar w:fldCharType="separate"/>
          </w:r>
          <w:r>
            <w:rPr>
              <w:rStyle w:val="15"/>
            </w:rPr>
            <w:t>2、合同管理</w:t>
          </w:r>
          <w:r>
            <w:tab/>
          </w:r>
          <w:r>
            <w:fldChar w:fldCharType="begin"/>
          </w:r>
          <w:r>
            <w:instrText xml:space="preserve"> PAGEREF _Toc91253933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"_Toc91253934" </w:instrText>
          </w:r>
          <w:r>
            <w:fldChar w:fldCharType="separate"/>
          </w:r>
          <w:r>
            <w:rPr>
              <w:rStyle w:val="15"/>
              <w:rFonts w:asciiTheme="minorEastAsia" w:hAnsiTheme="minorEastAsia" w:cstheme="majorBidi"/>
              <w:bCs/>
            </w:rPr>
            <w:t>2.1从采购订单发起合同</w:t>
          </w:r>
          <w:r>
            <w:tab/>
          </w:r>
          <w:r>
            <w:fldChar w:fldCharType="begin"/>
          </w:r>
          <w:r>
            <w:instrText xml:space="preserve"> PAGEREF _Toc91253934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"_Toc91253935" </w:instrText>
          </w:r>
          <w:r>
            <w:fldChar w:fldCharType="separate"/>
          </w:r>
          <w:r>
            <w:rPr>
              <w:rStyle w:val="15"/>
            </w:rPr>
            <w:t>2.2收入合同与非经济合同</w:t>
          </w:r>
          <w:r>
            <w:tab/>
          </w:r>
          <w:r>
            <w:fldChar w:fldCharType="begin"/>
          </w:r>
          <w:r>
            <w:instrText xml:space="preserve"> PAGEREF _Toc91253935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spacing w:line="360" w:lineRule="auto"/>
          </w:pPr>
          <w:r>
            <w:rPr>
              <w:rFonts w:ascii="宋体" w:hAnsi="宋体" w:eastAsia="宋体"/>
              <w:b/>
              <w:bCs/>
              <w:sz w:val="24"/>
              <w:szCs w:val="28"/>
              <w:lang w:val="zh-CN"/>
            </w:rPr>
            <w:fldChar w:fldCharType="end"/>
          </w:r>
        </w:p>
      </w:sdtContent>
    </w:sdt>
    <w:p/>
    <w:p/>
    <w:p/>
    <w:p/>
    <w:p/>
    <w:p/>
    <w:p/>
    <w:p/>
    <w:p/>
    <w:p/>
    <w:p/>
    <w:p/>
    <w:p/>
    <w:p/>
    <w:p/>
    <w:p/>
    <w:p/>
    <w:p/>
    <w:p/>
    <w:p/>
    <w:p/>
    <w:p/>
    <w:p/>
    <w:p>
      <w:r>
        <w:br w:type="page"/>
      </w:r>
    </w:p>
    <w:p/>
    <w:p>
      <w:pPr>
        <w:pStyle w:val="2"/>
        <w:rPr>
          <w:rFonts w:hint="default"/>
          <w:sz w:val="28"/>
          <w:szCs w:val="28"/>
        </w:rPr>
      </w:pPr>
      <w:bookmarkStart w:id="0" w:name="_Toc91253932"/>
      <w:r>
        <w:rPr>
          <w:sz w:val="28"/>
          <w:szCs w:val="28"/>
        </w:rPr>
        <w:t>1、用户登录</w:t>
      </w:r>
      <w:bookmarkEnd w:id="0"/>
    </w:p>
    <w:p>
      <w:pPr>
        <w:pStyle w:val="12"/>
        <w:widowControl/>
        <w:spacing w:beforeAutospacing="0" w:after="178" w:afterAutospacing="0" w:line="360" w:lineRule="auto"/>
        <w:ind w:firstLine="738" w:firstLineChars="300"/>
        <w:rPr>
          <w:rFonts w:ascii="宋体" w:hAnsi="宋体" w:eastAsia="宋体" w:cs="宋体"/>
          <w:color w:val="333333"/>
          <w:spacing w:val="3"/>
        </w:rPr>
      </w:pPr>
      <w:r>
        <w:rPr>
          <w:rFonts w:ascii="&amp;quot" w:hAnsi="&amp;quot" w:eastAsia="&amp;quot" w:cs="&amp;quot"/>
          <w:color w:val="333333"/>
          <w:spacing w:val="3"/>
        </w:rPr>
        <w:t>打开浏览器(支持内核IE9、Chromium50以上的浏览器，推荐Chromium内核的浏览器，例如：谷歌浏览器、360浏览器的极速模式。</w:t>
      </w:r>
      <w:r>
        <w:rPr>
          <w:rFonts w:ascii="&amp;quot" w:hAnsi="&amp;quot" w:eastAsia="&amp;quot" w:cs="&amp;quot"/>
          <w:b/>
          <w:color w:val="FF4200"/>
          <w:spacing w:val="3"/>
        </w:rPr>
        <w:t>如果您打开异</w:t>
      </w:r>
      <w:r>
        <w:rPr>
          <w:rFonts w:hint="eastAsia" w:ascii="宋体" w:hAnsi="宋体" w:eastAsia="宋体" w:cs="宋体"/>
          <w:color w:val="333333"/>
          <w:spacing w:val="3"/>
        </w:rPr>
        <w:t>常，请将您的浏览器更新到最新版本</w:t>
      </w:r>
      <w:r>
        <w:rPr>
          <w:rFonts w:ascii="&amp;quot" w:hAnsi="&amp;quot" w:eastAsia="&amp;quot" w:cs="&amp;quot"/>
          <w:color w:val="333333"/>
          <w:spacing w:val="3"/>
        </w:rPr>
        <w:t>)</w:t>
      </w:r>
      <w:r>
        <w:rPr>
          <w:rFonts w:hint="eastAsia" w:ascii="宋体" w:hAnsi="宋体" w:eastAsia="宋体" w:cs="宋体"/>
          <w:color w:val="333333"/>
          <w:spacing w:val="3"/>
        </w:rPr>
        <w:t>。</w:t>
      </w:r>
    </w:p>
    <w:p>
      <w:pPr>
        <w:rPr>
          <w:rFonts w:ascii="仿宋" w:hAnsi="仿宋" w:eastAsia="仿宋"/>
          <w:color w:val="000000" w:themeColor="text1"/>
          <w:sz w:val="24"/>
          <w:szCs w:val="24"/>
        </w:rPr>
      </w:pPr>
      <w:r>
        <w:rPr>
          <w:rFonts w:hint="eastAsia" w:asciiTheme="minorEastAsia" w:hAnsiTheme="minorEastAsia" w:cstheme="majorBidi"/>
          <w:b/>
          <w:bCs/>
          <w:sz w:val="24"/>
          <w:szCs w:val="24"/>
        </w:rPr>
        <w:t>1</w:t>
      </w:r>
      <w:r>
        <w:rPr>
          <w:rFonts w:asciiTheme="minorEastAsia" w:hAnsiTheme="minorEastAsia" w:cstheme="majorBidi"/>
          <w:b/>
          <w:bCs/>
          <w:sz w:val="24"/>
          <w:szCs w:val="24"/>
        </w:rPr>
        <w:t>.1</w:t>
      </w:r>
      <w:r>
        <w:rPr>
          <w:rFonts w:hint="eastAsia" w:asciiTheme="minorEastAsia" w:hAnsiTheme="minorEastAsia" w:cstheme="majorBidi"/>
          <w:b/>
          <w:bCs/>
          <w:sz w:val="24"/>
          <w:szCs w:val="24"/>
        </w:rPr>
        <w:t>初始登录</w:t>
      </w:r>
    </w:p>
    <w:p>
      <w:pPr>
        <w:ind w:firstLine="480"/>
        <w:rPr>
          <w:rFonts w:ascii="仿宋" w:hAnsi="仿宋" w:eastAsia="仿宋"/>
          <w:color w:val="000000" w:themeColor="text1"/>
          <w:sz w:val="24"/>
          <w:szCs w:val="24"/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</w:rPr>
        <w:t>打开浏览器(</w:t>
      </w:r>
      <w:r>
        <w:rPr>
          <w:rFonts w:hint="eastAsia" w:ascii="仿宋" w:hAnsi="仿宋" w:eastAsia="仿宋" w:cs="Segoe UI"/>
          <w:color w:val="000000" w:themeColor="text1"/>
          <w:sz w:val="24"/>
          <w:szCs w:val="24"/>
        </w:rPr>
        <w:t>支持内核IE</w:t>
      </w:r>
      <w:r>
        <w:rPr>
          <w:rFonts w:ascii="仿宋" w:hAnsi="仿宋" w:eastAsia="仿宋" w:cs="Segoe UI"/>
          <w:color w:val="000000" w:themeColor="text1"/>
          <w:sz w:val="24"/>
          <w:szCs w:val="24"/>
        </w:rPr>
        <w:t>9</w:t>
      </w:r>
      <w:r>
        <w:rPr>
          <w:rFonts w:hint="eastAsia" w:ascii="仿宋" w:hAnsi="仿宋" w:eastAsia="仿宋" w:cs="Segoe UI"/>
          <w:color w:val="000000" w:themeColor="text1"/>
          <w:sz w:val="24"/>
          <w:szCs w:val="24"/>
        </w:rPr>
        <w:t>、</w:t>
      </w:r>
      <w:r>
        <w:rPr>
          <w:rFonts w:ascii="仿宋" w:hAnsi="仿宋" w:eastAsia="仿宋" w:cs="Segoe UI"/>
          <w:color w:val="000000" w:themeColor="text1"/>
          <w:sz w:val="24"/>
          <w:szCs w:val="24"/>
        </w:rPr>
        <w:t>Chromium50</w:t>
      </w:r>
      <w:r>
        <w:rPr>
          <w:rFonts w:hint="eastAsia" w:ascii="仿宋" w:hAnsi="仿宋" w:eastAsia="仿宋" w:cs="Segoe UI"/>
          <w:color w:val="000000" w:themeColor="text1"/>
          <w:sz w:val="24"/>
          <w:szCs w:val="24"/>
        </w:rPr>
        <w:t>以上</w:t>
      </w:r>
      <w:r>
        <w:rPr>
          <w:rFonts w:hint="eastAsia" w:ascii="仿宋" w:hAnsi="仿宋" w:eastAsia="仿宋"/>
          <w:color w:val="000000" w:themeColor="text1"/>
          <w:sz w:val="24"/>
          <w:szCs w:val="24"/>
        </w:rPr>
        <w:t>的浏览器，推荐</w:t>
      </w:r>
      <w:r>
        <w:rPr>
          <w:rFonts w:ascii="仿宋" w:hAnsi="仿宋" w:eastAsia="仿宋" w:cs="Segoe UI"/>
          <w:color w:val="000000" w:themeColor="text1"/>
          <w:sz w:val="24"/>
          <w:szCs w:val="24"/>
        </w:rPr>
        <w:t>Chromium</w:t>
      </w:r>
      <w:r>
        <w:rPr>
          <w:rFonts w:hint="eastAsia" w:ascii="仿宋" w:hAnsi="仿宋" w:eastAsia="仿宋" w:cs="Segoe UI"/>
          <w:color w:val="000000" w:themeColor="text1"/>
          <w:sz w:val="24"/>
          <w:szCs w:val="24"/>
        </w:rPr>
        <w:t>内核的浏览器，例如：谷歌浏览器、3</w:t>
      </w:r>
      <w:r>
        <w:rPr>
          <w:rFonts w:ascii="仿宋" w:hAnsi="仿宋" w:eastAsia="仿宋" w:cs="Segoe UI"/>
          <w:color w:val="000000" w:themeColor="text1"/>
          <w:sz w:val="24"/>
          <w:szCs w:val="24"/>
        </w:rPr>
        <w:t>60</w:t>
      </w:r>
      <w:r>
        <w:rPr>
          <w:rFonts w:hint="eastAsia" w:ascii="仿宋" w:hAnsi="仿宋" w:eastAsia="仿宋" w:cs="Segoe UI"/>
          <w:color w:val="000000" w:themeColor="text1"/>
          <w:sz w:val="24"/>
          <w:szCs w:val="24"/>
        </w:rPr>
        <w:t>浏览器的极速模式。如果您打开异常，请将您的浏览器更新到最新版本</w:t>
      </w:r>
      <w:r>
        <w:rPr>
          <w:rFonts w:hint="eastAsia" w:ascii="仿宋" w:hAnsi="仿宋" w:eastAsia="仿宋"/>
          <w:color w:val="000000" w:themeColor="text1"/>
          <w:sz w:val="24"/>
          <w:szCs w:val="24"/>
        </w:rPr>
        <w:t>)，登录地址为：</w:t>
      </w:r>
    </w:p>
    <w:p>
      <w:pPr>
        <w:ind w:firstLine="480" w:firstLineChars="200"/>
        <w:rPr>
          <w:rFonts w:ascii="仿宋" w:hAnsi="仿宋" w:eastAsia="仿宋"/>
          <w:color w:val="000000" w:themeColor="text1"/>
          <w:sz w:val="24"/>
          <w:szCs w:val="24"/>
        </w:rPr>
      </w:pPr>
    </w:p>
    <w:p>
      <w:pPr>
        <w:ind w:firstLine="964" w:firstLineChars="400"/>
        <w:rPr>
          <w:rFonts w:ascii="仿宋" w:hAnsi="仿宋" w:eastAsia="仿宋"/>
          <w:b/>
          <w:bCs/>
          <w:color w:val="000000" w:themeColor="text1"/>
          <w:sz w:val="24"/>
          <w:szCs w:val="24"/>
        </w:rPr>
      </w:pPr>
      <w:r>
        <w:rPr>
          <w:rFonts w:hint="eastAsia" w:ascii="仿宋" w:hAnsi="仿宋" w:eastAsia="仿宋"/>
          <w:b/>
          <w:bCs/>
          <w:color w:val="000000" w:themeColor="text1"/>
          <w:sz w:val="24"/>
          <w:szCs w:val="24"/>
        </w:rPr>
        <w:t>https://</w:t>
      </w:r>
      <w:r>
        <w:rPr>
          <w:rFonts w:ascii="仿宋" w:hAnsi="仿宋" w:eastAsia="仿宋"/>
          <w:b/>
          <w:bCs/>
          <w:color w:val="000000" w:themeColor="text1"/>
          <w:sz w:val="24"/>
          <w:szCs w:val="24"/>
        </w:rPr>
        <w:t>100.5.0.21:800/Account/Login</w:t>
      </w:r>
    </w:p>
    <w:p>
      <w:pPr>
        <w:rPr>
          <w:rFonts w:ascii="仿宋" w:hAnsi="仿宋" w:eastAsia="仿宋" w:cs="微软雅黑"/>
          <w:color w:val="000000" w:themeColor="text1"/>
          <w:sz w:val="24"/>
          <w:szCs w:val="24"/>
          <w:shd w:val="clear" w:color="auto" w:fill="FFFFFF"/>
        </w:rPr>
      </w:pPr>
    </w:p>
    <w:p>
      <w:pPr>
        <w:ind w:firstLine="480"/>
        <w:rPr>
          <w:rFonts w:ascii="仿宋" w:hAnsi="仿宋" w:eastAsia="仿宋"/>
          <w:color w:val="000000" w:themeColor="text1"/>
          <w:sz w:val="24"/>
          <w:szCs w:val="24"/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</w:rPr>
        <w:t>界面如下图所示。在系统登录区输入用户名和密码(</w:t>
      </w:r>
      <w:r>
        <w:rPr>
          <w:rFonts w:hint="eastAsia" w:ascii="仿宋" w:hAnsi="仿宋" w:eastAsia="仿宋"/>
          <w:b/>
          <w:bCs/>
          <w:i/>
          <w:color w:val="FF0000"/>
          <w:sz w:val="24"/>
          <w:szCs w:val="24"/>
          <w:u w:val="single"/>
        </w:rPr>
        <w:t>用户名为工号，初始密码为身份证后六位</w:t>
      </w:r>
      <w:r>
        <w:rPr>
          <w:rFonts w:hint="eastAsia" w:ascii="仿宋" w:hAnsi="仿宋" w:eastAsia="仿宋"/>
          <w:color w:val="000000" w:themeColor="text1"/>
          <w:sz w:val="24"/>
          <w:szCs w:val="24"/>
        </w:rPr>
        <w:t>)后，点击登录即可。</w:t>
      </w:r>
    </w:p>
    <w:p>
      <w:pPr>
        <w:jc w:val="center"/>
        <w:rPr>
          <w:rFonts w:ascii="仿宋" w:hAnsi="仿宋" w:eastAsia="仿宋"/>
          <w:color w:val="000000" w:themeColor="text1"/>
          <w:sz w:val="24"/>
          <w:szCs w:val="24"/>
        </w:rPr>
      </w:pPr>
      <w:r>
        <w:rPr>
          <w:rFonts w:ascii="仿宋" w:hAnsi="仿宋" w:eastAsia="仿宋"/>
          <w:color w:val="000000" w:themeColor="text1"/>
          <w:sz w:val="24"/>
          <w:szCs w:val="24"/>
        </w:rPr>
        <w:drawing>
          <wp:inline distT="0" distB="0" distL="114300" distR="114300">
            <wp:extent cx="3955415" cy="1757045"/>
            <wp:effectExtent l="0" t="0" r="698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5"/>
                    <a:srcRect l="24909" t="12307" b="6734"/>
                    <a:stretch>
                      <a:fillRect/>
                    </a:stretch>
                  </pic:blipFill>
                  <pic:spPr>
                    <a:xfrm>
                      <a:off x="0" y="0"/>
                      <a:ext cx="3957170" cy="1757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color w:val="000000" w:themeColor="text1"/>
          <w:sz w:val="24"/>
          <w:szCs w:val="24"/>
        </w:rPr>
      </w:pPr>
    </w:p>
    <w:p>
      <w:pPr>
        <w:rPr>
          <w:rFonts w:asciiTheme="minorEastAsia" w:hAnsiTheme="minorEastAsia" w:cstheme="majorBidi"/>
          <w:b/>
          <w:bCs/>
          <w:sz w:val="24"/>
          <w:szCs w:val="24"/>
        </w:rPr>
      </w:pPr>
      <w:r>
        <w:rPr>
          <w:rFonts w:asciiTheme="minorEastAsia" w:hAnsiTheme="minorEastAsia" w:cstheme="majorBidi"/>
          <w:b/>
          <w:bCs/>
          <w:sz w:val="24"/>
          <w:szCs w:val="24"/>
        </w:rPr>
        <w:t>1.</w:t>
      </w:r>
      <w:r>
        <w:rPr>
          <w:rFonts w:hint="eastAsia" w:asciiTheme="minorEastAsia" w:hAnsiTheme="minorEastAsia" w:cstheme="majorBidi"/>
          <w:b/>
          <w:bCs/>
          <w:sz w:val="24"/>
          <w:szCs w:val="24"/>
        </w:rPr>
        <w:t>2修改密码邮箱绑定</w:t>
      </w:r>
    </w:p>
    <w:p>
      <w:pPr>
        <w:ind w:firstLine="480"/>
        <w:rPr>
          <w:rFonts w:ascii="仿宋" w:hAnsi="仿宋" w:eastAsia="仿宋"/>
          <w:color w:val="000000" w:themeColor="text1"/>
          <w:sz w:val="24"/>
          <w:szCs w:val="24"/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</w:rPr>
        <w:t>首次登录财务系统，建议修改密码并绑定邮箱(</w:t>
      </w:r>
      <w:r>
        <w:rPr>
          <w:rFonts w:hint="eastAsia" w:ascii="仿宋" w:hAnsi="仿宋" w:eastAsia="仿宋"/>
          <w:b/>
          <w:bCs/>
          <w:color w:val="FF0000"/>
          <w:sz w:val="24"/>
          <w:szCs w:val="24"/>
        </w:rPr>
        <w:t>首次修改密码必须绑定邮箱，方便忘记密码后找回</w:t>
      </w:r>
      <w:r>
        <w:rPr>
          <w:rFonts w:hint="eastAsia" w:ascii="仿宋" w:hAnsi="仿宋" w:eastAsia="仿宋"/>
          <w:color w:val="000000" w:themeColor="text1"/>
          <w:sz w:val="24"/>
          <w:szCs w:val="24"/>
        </w:rPr>
        <w:t>)操作步骤如下：</w:t>
      </w:r>
    </w:p>
    <w:p>
      <w:pPr>
        <w:ind w:firstLine="480"/>
        <w:rPr>
          <w:rFonts w:ascii="仿宋" w:hAnsi="仿宋" w:eastAsia="仿宋"/>
          <w:color w:val="000000" w:themeColor="text1"/>
          <w:sz w:val="24"/>
          <w:szCs w:val="24"/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</w:rPr>
        <w:t>(1)点击右上角用户名下拉箭头；</w:t>
      </w:r>
    </w:p>
    <w:p>
      <w:pPr>
        <w:pStyle w:val="25"/>
        <w:rPr>
          <w:rFonts w:ascii="仿宋" w:hAnsi="仿宋" w:eastAsia="仿宋"/>
          <w:color w:val="000000" w:themeColor="text1"/>
          <w:szCs w:val="24"/>
        </w:rPr>
      </w:pPr>
      <w:r>
        <w:rPr>
          <w:rFonts w:ascii="仿宋" w:hAnsi="仿宋" w:eastAsia="仿宋"/>
          <w:color w:val="000000" w:themeColor="text1"/>
          <w:szCs w:val="24"/>
        </w:rPr>
        <w:drawing>
          <wp:inline distT="0" distB="0" distL="114300" distR="114300">
            <wp:extent cx="5273040" cy="1878965"/>
            <wp:effectExtent l="0" t="0" r="3810" b="6985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87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rPr>
          <w:rFonts w:ascii="仿宋" w:hAnsi="仿宋" w:eastAsia="仿宋"/>
          <w:color w:val="000000" w:themeColor="text1"/>
          <w:sz w:val="24"/>
          <w:szCs w:val="24"/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</w:rPr>
        <w:t>(2)点击基本资料，然后点击“绑定邮箱”，输入邮箱地址和验证码。界面如下图所示；</w:t>
      </w:r>
    </w:p>
    <w:p>
      <w:pPr>
        <w:pStyle w:val="25"/>
        <w:rPr>
          <w:rFonts w:ascii="仿宋" w:hAnsi="仿宋" w:eastAsia="仿宋"/>
          <w:color w:val="000000" w:themeColor="text1"/>
          <w:szCs w:val="24"/>
        </w:rPr>
      </w:pPr>
      <w:r>
        <w:rPr>
          <w:rFonts w:ascii="仿宋" w:hAnsi="仿宋" w:eastAsia="仿宋"/>
          <w:color w:val="000000" w:themeColor="text1"/>
          <w:szCs w:val="24"/>
        </w:rPr>
        <w:drawing>
          <wp:inline distT="0" distB="0" distL="114300" distR="114300">
            <wp:extent cx="2451735" cy="1545590"/>
            <wp:effectExtent l="0" t="0" r="5715" b="0"/>
            <wp:docPr id="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rcRect r="45154" b="21850"/>
                    <a:stretch>
                      <a:fillRect/>
                    </a:stretch>
                  </pic:blipFill>
                  <pic:spPr>
                    <a:xfrm>
                      <a:off x="0" y="0"/>
                      <a:ext cx="2457929" cy="1549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color w:val="000000" w:themeColor="text1"/>
          <w:szCs w:val="24"/>
        </w:rPr>
        <w:t xml:space="preserve"> </w:t>
      </w:r>
      <w:r>
        <w:rPr>
          <w:rFonts w:ascii="仿宋" w:hAnsi="仿宋" w:eastAsia="仿宋"/>
          <w:color w:val="000000" w:themeColor="text1"/>
          <w:szCs w:val="24"/>
        </w:rPr>
        <w:drawing>
          <wp:inline distT="0" distB="0" distL="114300" distR="114300">
            <wp:extent cx="1830070" cy="1549400"/>
            <wp:effectExtent l="0" t="0" r="0" b="0"/>
            <wp:docPr id="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37526" cy="155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rPr>
          <w:rFonts w:ascii="仿宋" w:hAnsi="仿宋" w:eastAsia="仿宋"/>
          <w:color w:val="000000" w:themeColor="text1"/>
          <w:sz w:val="24"/>
          <w:szCs w:val="24"/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</w:rPr>
        <w:t>(3)输入邮箱和验证码之后，系统会发送一封邮件至您的邮箱，请登录邮箱进行查收，点击链接并完成绑定。</w:t>
      </w:r>
    </w:p>
    <w:p>
      <w:pPr>
        <w:ind w:firstLine="480"/>
        <w:rPr>
          <w:rFonts w:ascii="仿宋" w:hAnsi="仿宋" w:eastAsia="仿宋"/>
          <w:color w:val="000000" w:themeColor="text1"/>
          <w:sz w:val="24"/>
          <w:szCs w:val="24"/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</w:rPr>
        <w:t>(4)完成绑定后，点击右上角用户名下拉箭头，然后点击修改密码，界面如下图。填入相关信息后，点击“确认修改”即可完成密码修改。</w:t>
      </w:r>
    </w:p>
    <w:p>
      <w:pPr>
        <w:jc w:val="center"/>
        <w:rPr>
          <w:rFonts w:ascii="仿宋" w:hAnsi="仿宋" w:eastAsia="仿宋"/>
          <w:color w:val="000000" w:themeColor="text1"/>
          <w:sz w:val="24"/>
          <w:szCs w:val="24"/>
        </w:rPr>
      </w:pPr>
      <w:r>
        <w:rPr>
          <w:rFonts w:ascii="仿宋" w:hAnsi="仿宋" w:eastAsia="仿宋"/>
          <w:color w:val="000000" w:themeColor="text1"/>
          <w:sz w:val="24"/>
          <w:szCs w:val="24"/>
        </w:rPr>
        <w:drawing>
          <wp:inline distT="0" distB="0" distL="114300" distR="114300">
            <wp:extent cx="2749550" cy="1724025"/>
            <wp:effectExtent l="76200" t="76200" r="127000" b="12382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68055" cy="1735530"/>
                    </a:xfrm>
                    <a:prstGeom prst="rect">
                      <a:avLst/>
                    </a:prstGeom>
                    <a:noFill/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ajorBidi"/>
          <w:b/>
          <w:bCs/>
          <w:sz w:val="24"/>
          <w:szCs w:val="24"/>
        </w:rPr>
      </w:pPr>
      <w:bookmarkStart w:id="1" w:name="_Toc63608786"/>
      <w:r>
        <w:rPr>
          <w:rFonts w:hint="eastAsia" w:asciiTheme="minorEastAsia" w:hAnsiTheme="minorEastAsia" w:cstheme="majorBidi"/>
          <w:b/>
          <w:bCs/>
          <w:sz w:val="24"/>
          <w:szCs w:val="24"/>
        </w:rPr>
        <w:t>1</w:t>
      </w:r>
      <w:r>
        <w:rPr>
          <w:rFonts w:asciiTheme="minorEastAsia" w:hAnsiTheme="minorEastAsia" w:cstheme="majorBidi"/>
          <w:b/>
          <w:bCs/>
          <w:sz w:val="24"/>
          <w:szCs w:val="24"/>
        </w:rPr>
        <w:t>.3</w:t>
      </w:r>
      <w:r>
        <w:rPr>
          <w:rFonts w:hint="eastAsia" w:asciiTheme="minorEastAsia" w:hAnsiTheme="minorEastAsia" w:cstheme="majorBidi"/>
          <w:b/>
          <w:bCs/>
          <w:sz w:val="24"/>
          <w:szCs w:val="24"/>
        </w:rPr>
        <w:t>系统主页</w:t>
      </w:r>
      <w:bookmarkEnd w:id="1"/>
    </w:p>
    <w:p>
      <w:pPr>
        <w:ind w:firstLine="480"/>
        <w:rPr>
          <w:rFonts w:ascii="仿宋" w:hAnsi="仿宋" w:eastAsia="仿宋"/>
          <w:color w:val="000000" w:themeColor="text1"/>
          <w:sz w:val="24"/>
          <w:szCs w:val="24"/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</w:rPr>
        <w:t>进入系统后，点击左边的主页，进入主页下面的个人中心，如下图所示：</w:t>
      </w:r>
    </w:p>
    <w:p>
      <w:pPr>
        <w:jc w:val="center"/>
        <w:rPr>
          <w:rFonts w:ascii="仿宋" w:hAnsi="仿宋" w:eastAsia="仿宋"/>
          <w:color w:val="000000" w:themeColor="text1"/>
          <w:sz w:val="24"/>
          <w:szCs w:val="24"/>
        </w:rPr>
      </w:pPr>
      <w:r>
        <w:rPr>
          <w:rFonts w:ascii="仿宋" w:hAnsi="仿宋" w:eastAsia="仿宋"/>
          <w:color w:val="000000" w:themeColor="text1"/>
          <w:sz w:val="24"/>
          <w:szCs w:val="24"/>
        </w:rPr>
        <w:drawing>
          <wp:inline distT="0" distB="0" distL="114300" distR="114300">
            <wp:extent cx="4868545" cy="2236470"/>
            <wp:effectExtent l="0" t="0" r="8255" b="0"/>
            <wp:docPr id="1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75427" cy="2239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rPr>
          <w:rFonts w:ascii="仿宋" w:hAnsi="仿宋" w:eastAsia="仿宋"/>
          <w:color w:val="000000" w:themeColor="text1"/>
          <w:sz w:val="24"/>
          <w:szCs w:val="24"/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</w:rPr>
        <w:t>个人中心主界面：我的收藏、我的系统、系统信息、系统通知和收入汇总等内容。其中【最常访问功能】显示当前用户常用功能，用户点击该功能后可直接进入相应的模块办理相关业务。【系统信息】显示当前系统的一些基本信息，包括登录时间、系统所属单位、在线人数等。点击【我的收藏】右上角的设置按钮，可进入我的收藏设置界面。</w:t>
      </w:r>
    </w:p>
    <w:p>
      <w:pPr>
        <w:jc w:val="center"/>
        <w:rPr>
          <w:rFonts w:ascii="仿宋" w:hAnsi="仿宋" w:eastAsia="仿宋"/>
          <w:color w:val="000000" w:themeColor="text1"/>
          <w:sz w:val="24"/>
          <w:szCs w:val="24"/>
        </w:rPr>
      </w:pPr>
      <w:r>
        <w:rPr>
          <w:rFonts w:ascii="仿宋" w:hAnsi="仿宋" w:eastAsia="仿宋"/>
          <w:color w:val="000000" w:themeColor="text1"/>
          <w:sz w:val="24"/>
          <w:szCs w:val="24"/>
        </w:rPr>
        <w:drawing>
          <wp:inline distT="0" distB="0" distL="114300" distR="114300">
            <wp:extent cx="4618990" cy="1924050"/>
            <wp:effectExtent l="0" t="0" r="0" b="0"/>
            <wp:docPr id="1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25230" cy="1926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rPr>
          <w:rFonts w:ascii="仿宋" w:hAnsi="仿宋" w:eastAsia="仿宋"/>
          <w:color w:val="000000" w:themeColor="text1"/>
          <w:sz w:val="24"/>
          <w:szCs w:val="24"/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</w:rPr>
        <w:t>点击列表中相应的功能，即可将此功能添加到我的收藏栏里，这样可方便用户将自己常用到的功能放在我的收藏栏里，方便快速办理相关业务。</w:t>
      </w:r>
    </w:p>
    <w:p/>
    <w:p>
      <w:pPr>
        <w:pStyle w:val="2"/>
        <w:rPr>
          <w:rFonts w:hint="default"/>
          <w:sz w:val="28"/>
          <w:szCs w:val="28"/>
        </w:rPr>
      </w:pPr>
      <w:bookmarkStart w:id="2" w:name="_Toc91253933"/>
      <w:r>
        <w:rPr>
          <w:sz w:val="28"/>
          <w:szCs w:val="28"/>
        </w:rPr>
        <w:t>2、合同管理</w:t>
      </w:r>
      <w:bookmarkEnd w:id="2"/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登陆进系统后，默认界面为财务管理模块，点击【合同管理】，出现如下界面，即可进入合同系统。</w:t>
      </w:r>
      <w:r>
        <w:drawing>
          <wp:inline distT="0" distB="0" distL="0" distR="0">
            <wp:extent cx="5274310" cy="2383155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sz w:val="24"/>
          <w:szCs w:val="24"/>
        </w:rPr>
      </w:pPr>
    </w:p>
    <w:p>
      <w:pPr>
        <w:spacing w:line="360" w:lineRule="auto"/>
        <w:jc w:val="center"/>
        <w:rPr>
          <w:sz w:val="24"/>
          <w:szCs w:val="24"/>
        </w:rPr>
      </w:pPr>
    </w:p>
    <w:p>
      <w:pPr>
        <w:pStyle w:val="2"/>
        <w:rPr>
          <w:rFonts w:asciiTheme="minorEastAsia" w:hAnsiTheme="minorEastAsia" w:cstheme="majorBidi"/>
          <w:b w:val="0"/>
          <w:bCs/>
          <w:sz w:val="24"/>
          <w:szCs w:val="24"/>
        </w:rPr>
      </w:pPr>
      <w:bookmarkStart w:id="3" w:name="_Toc91253934"/>
      <w:r>
        <w:rPr>
          <w:rFonts w:asciiTheme="minorEastAsia" w:hAnsiTheme="minorEastAsia" w:cstheme="majorBidi"/>
          <w:bCs/>
          <w:sz w:val="24"/>
          <w:szCs w:val="24"/>
        </w:rPr>
        <w:t>2.1</w:t>
      </w:r>
      <w:r>
        <w:rPr>
          <w:rFonts w:asciiTheme="minorEastAsia" w:hAnsiTheme="minorEastAsia" w:cstheme="majorBidi"/>
          <w:b w:val="0"/>
          <w:bCs/>
          <w:sz w:val="24"/>
          <w:szCs w:val="24"/>
        </w:rPr>
        <w:t>从采购订单发起合同</w:t>
      </w:r>
      <w:bookmarkEnd w:id="3"/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采购申请在经过招标采购科确定采购方式形成采购订单后，可以进行合同申请。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第一步：</w:t>
      </w:r>
    </w:p>
    <w:p>
      <w:pPr>
        <w:spacing w:line="360" w:lineRule="auto"/>
        <w:ind w:firstLine="480" w:firstLineChars="200"/>
        <w:jc w:val="left"/>
      </w:pPr>
      <w:r>
        <w:rPr>
          <w:rFonts w:hint="eastAsia" w:asciiTheme="minorEastAsia" w:hAnsiTheme="minorEastAsia"/>
          <w:sz w:val="24"/>
          <w:szCs w:val="24"/>
        </w:rPr>
        <w:t>点击【合同管理】-【合同申请（总）】-【从采购订单发起合同】，进入新增页面，选择从采购订单发起可选择相应的采购订单与合同模板</w:t>
      </w:r>
      <w:r>
        <w:rPr>
          <w:rFonts w:hint="eastAsia" w:asciiTheme="minorEastAsia" w:hAnsiTheme="minorEastAsia"/>
          <w:color w:val="FF0000"/>
          <w:sz w:val="24"/>
          <w:szCs w:val="24"/>
        </w:rPr>
        <w:t>（如无采购订单则只需点击直接创建合同，由第一步选择“直接创建合同 ”自动跳到第三步</w:t>
      </w:r>
      <w:r>
        <w:rPr>
          <w:rFonts w:asciiTheme="minorEastAsia" w:hAnsiTheme="minorEastAsia"/>
          <w:color w:val="FF0000"/>
          <w:sz w:val="24"/>
          <w:szCs w:val="24"/>
        </w:rPr>
        <w:t>）</w:t>
      </w:r>
      <w:r>
        <w:rPr>
          <w:rFonts w:hint="eastAsia" w:asciiTheme="minorEastAsia" w:hAnsiTheme="minorEastAsia"/>
          <w:color w:val="FF0000"/>
          <w:sz w:val="24"/>
          <w:szCs w:val="24"/>
        </w:rPr>
        <w:t>。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第二步、选择相应订单</w:t>
      </w:r>
    </w:p>
    <w:p>
      <w:pPr>
        <w:jc w:val="left"/>
      </w:pPr>
      <w:r>
        <w:drawing>
          <wp:inline distT="0" distB="0" distL="0" distR="0">
            <wp:extent cx="5274310" cy="211074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4"/>
          <w:szCs w:val="28"/>
        </w:rPr>
      </w:pP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第三步、选择合同类型</w:t>
      </w:r>
    </w:p>
    <w:p>
      <w:pPr>
        <w:rPr>
          <w:color w:val="FF0000"/>
          <w:sz w:val="24"/>
          <w:szCs w:val="28"/>
        </w:rPr>
      </w:pPr>
      <w:bookmarkStart w:id="5" w:name="_GoBack"/>
      <w:r>
        <w:drawing>
          <wp:inline distT="0" distB="0" distL="114300" distR="114300">
            <wp:extent cx="5268595" cy="2802255"/>
            <wp:effectExtent l="0" t="0" r="8255" b="1714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0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第四步、填写合同基本信息，选择订单中分标录入合同相关信息</w:t>
      </w:r>
    </w:p>
    <w:p>
      <w:pPr>
        <w:rPr>
          <w:sz w:val="24"/>
          <w:szCs w:val="28"/>
        </w:rPr>
      </w:pPr>
      <w:r>
        <w:drawing>
          <wp:inline distT="0" distB="0" distL="0" distR="0">
            <wp:extent cx="5274310" cy="2471420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第五步、选择订单中的品目，没有特殊情况无需修改品目信息。</w:t>
      </w:r>
    </w:p>
    <w:p>
      <w:pPr>
        <w:jc w:val="left"/>
        <w:rPr>
          <w:b/>
          <w:bCs/>
        </w:rPr>
      </w:pPr>
      <w:r>
        <w:rPr>
          <w:rFonts w:hint="eastAsia"/>
        </w:rPr>
        <w:drawing>
          <wp:inline distT="0" distB="0" distL="0" distR="0">
            <wp:extent cx="5274310" cy="228600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color w:val="FF0000"/>
          <w:sz w:val="24"/>
          <w:szCs w:val="24"/>
        </w:rPr>
      </w:pPr>
      <w:r>
        <w:rPr>
          <w:rFonts w:hint="eastAsia"/>
          <w:sz w:val="24"/>
          <w:szCs w:val="24"/>
        </w:rPr>
        <w:t>第六步、在付款信息中编辑供应商的银行账号、开户行等收款信息；</w:t>
      </w:r>
      <w:r>
        <w:rPr>
          <w:rFonts w:hint="eastAsia"/>
          <w:color w:val="FF0000"/>
          <w:sz w:val="24"/>
          <w:szCs w:val="24"/>
        </w:rPr>
        <w:t>注：开户行不存在需提供对应的行联号，否则无法维护进系统；</w:t>
      </w:r>
    </w:p>
    <w:p>
      <w:pPr>
        <w:jc w:val="left"/>
        <w:rPr>
          <w:b/>
          <w:bCs/>
        </w:rPr>
      </w:pPr>
      <w:r>
        <w:rPr>
          <w:rFonts w:hint="eastAsia"/>
        </w:rPr>
        <w:drawing>
          <wp:inline distT="0" distB="0" distL="0" distR="0">
            <wp:extent cx="5274310" cy="2252980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2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第七步、验收进度可按时间付款也可按进度付款，根据实际情况填写即可；合同中存在预付款的则自动带入系统；</w:t>
      </w:r>
      <w:r>
        <w:rPr>
          <w:sz w:val="24"/>
          <w:szCs w:val="24"/>
        </w:rPr>
        <w:t xml:space="preserve"> </w:t>
      </w:r>
    </w:p>
    <w:p>
      <w:pPr>
        <w:jc w:val="left"/>
        <w:rPr>
          <w:b/>
          <w:bCs/>
        </w:rPr>
      </w:pPr>
      <w:r>
        <w:rPr>
          <w:rFonts w:hint="eastAsia"/>
        </w:rPr>
        <w:drawing>
          <wp:inline distT="0" distB="0" distL="0" distR="0">
            <wp:extent cx="5274310" cy="2429510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9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color w:val="FF0000"/>
          <w:sz w:val="24"/>
          <w:szCs w:val="24"/>
        </w:rPr>
      </w:pPr>
      <w:r>
        <w:rPr>
          <w:rFonts w:hint="eastAsia"/>
          <w:sz w:val="24"/>
          <w:szCs w:val="24"/>
        </w:rPr>
        <w:t>第八步、点击生成电子合同【保存】并提交，在合同列表界面可查看合同审批状态；</w:t>
      </w:r>
      <w:r>
        <w:rPr>
          <w:rFonts w:hint="eastAsia"/>
          <w:color w:val="FF0000"/>
          <w:sz w:val="24"/>
          <w:szCs w:val="24"/>
        </w:rPr>
        <w:t>注：使用对方合同或无模板的合同的则无需点击生成电子合同</w:t>
      </w:r>
    </w:p>
    <w:p>
      <w:pPr>
        <w:jc w:val="left"/>
        <w:rPr>
          <w:b/>
          <w:bCs/>
        </w:rPr>
      </w:pPr>
      <w:r>
        <w:rPr>
          <w:rFonts w:hint="eastAsia"/>
        </w:rPr>
        <w:drawing>
          <wp:inline distT="0" distB="0" distL="0" distR="0">
            <wp:extent cx="5274310" cy="2298065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8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b/>
          <w:bCs/>
        </w:rPr>
      </w:pPr>
    </w:p>
    <w:p>
      <w:pPr>
        <w:jc w:val="left"/>
      </w:pPr>
      <w:r>
        <w:drawing>
          <wp:inline distT="0" distB="0" distL="0" distR="0">
            <wp:extent cx="5274310" cy="206248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sz w:val="28"/>
          <w:szCs w:val="28"/>
        </w:rPr>
      </w:pPr>
      <w:bookmarkStart w:id="4" w:name="_Toc91253935"/>
      <w:r>
        <w:rPr>
          <w:rFonts w:hint="default"/>
          <w:sz w:val="28"/>
          <w:szCs w:val="28"/>
        </w:rPr>
        <w:t>2.2</w:t>
      </w:r>
      <w:r>
        <w:rPr>
          <w:sz w:val="28"/>
          <w:szCs w:val="28"/>
        </w:rPr>
        <w:t>收入合同与非经济合同</w:t>
      </w:r>
      <w:bookmarkEnd w:id="4"/>
    </w:p>
    <w:p>
      <w:r>
        <w:t>点击</w:t>
      </w:r>
      <w:r>
        <w:rPr>
          <w:rFonts w:hint="eastAsia" w:asciiTheme="minorEastAsia" w:hAnsiTheme="minorEastAsia"/>
          <w:sz w:val="24"/>
          <w:szCs w:val="24"/>
        </w:rPr>
        <w:t>【合同管理】-【合同管理总】-【收入合同】</w:t>
      </w:r>
      <w:r>
        <w:rPr>
          <w:rFonts w:asciiTheme="minorEastAsia" w:hAnsiTheme="minorEastAsia"/>
          <w:sz w:val="24"/>
          <w:szCs w:val="24"/>
        </w:rPr>
        <w:t>\</w:t>
      </w:r>
      <w:r>
        <w:rPr>
          <w:rFonts w:hint="eastAsia" w:asciiTheme="minorEastAsia" w:hAnsiTheme="minorEastAsia"/>
          <w:sz w:val="24"/>
          <w:szCs w:val="24"/>
        </w:rPr>
        <w:t>【非经济合同】，即可新增其他类型的合同。</w:t>
      </w:r>
    </w:p>
    <w:p>
      <w:r>
        <w:drawing>
          <wp:inline distT="0" distB="0" distL="0" distR="0">
            <wp:extent cx="5274310" cy="18008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0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2414270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  <w:r>
        <w:t>第一步：创建合同</w:t>
      </w:r>
    </w:p>
    <w:p>
      <w:pPr>
        <w:jc w:val="left"/>
      </w:pPr>
      <w:r>
        <w:rPr>
          <w:rFonts w:hint="eastAsia"/>
        </w:rPr>
        <w:t xml:space="preserve"> </w:t>
      </w:r>
      <w:r>
        <w:t xml:space="preserve">  根据合同的性质，选择收入经济合同。选中某一类型后，即进入创建合同界面。</w:t>
      </w:r>
    </w:p>
    <w:p>
      <w:pPr>
        <w:jc w:val="left"/>
        <w:rPr>
          <w:rFonts w:hint="eastAsia"/>
        </w:rPr>
      </w:pPr>
      <w:r>
        <w:drawing>
          <wp:inline distT="0" distB="0" distL="0" distR="0">
            <wp:extent cx="5274310" cy="286067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t>第二</w:t>
      </w:r>
      <w:r>
        <w:rPr>
          <w:rFonts w:hint="eastAsia"/>
        </w:rPr>
        <w:t>步：选择类型</w:t>
      </w:r>
    </w:p>
    <w:p>
      <w:pPr>
        <w:jc w:val="left"/>
      </w:pPr>
      <w:r>
        <w:rPr>
          <w:rFonts w:hint="eastAsia"/>
        </w:rPr>
        <w:t xml:space="preserve"> </w:t>
      </w:r>
      <w:r>
        <w:t xml:space="preserve"> 选择对应的合同类型后点击下一步</w:t>
      </w:r>
    </w:p>
    <w:p>
      <w:pPr>
        <w:jc w:val="left"/>
      </w:pPr>
      <w:r>
        <w:drawing>
          <wp:inline distT="0" distB="0" distL="0" distR="0">
            <wp:extent cx="5274310" cy="2430145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t>第三步、填写基本信息</w:t>
      </w:r>
    </w:p>
    <w:p>
      <w:pPr>
        <w:jc w:val="left"/>
      </w:pPr>
      <w:r>
        <w:rPr>
          <w:rFonts w:hint="eastAsia"/>
        </w:rPr>
        <w:t xml:space="preserve"> </w:t>
      </w:r>
      <w:r>
        <w:t xml:space="preserve">  </w:t>
      </w:r>
      <w:r>
        <w:drawing>
          <wp:inline distT="0" distB="0" distL="0" distR="0">
            <wp:extent cx="5274310" cy="2282825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t>第四步</w:t>
      </w:r>
      <w:r>
        <w:rPr>
          <w:rFonts w:hint="eastAsia"/>
        </w:rPr>
        <w:t>、填写收款计划</w:t>
      </w:r>
    </w:p>
    <w:p>
      <w:pPr>
        <w:jc w:val="left"/>
      </w:pPr>
      <w:r>
        <w:rPr>
          <w:rFonts w:hint="eastAsia"/>
        </w:rPr>
        <w:t xml:space="preserve"> </w:t>
      </w:r>
      <w:r>
        <w:t xml:space="preserve"> 选择对应的收款类型并填写相应的收款计划信息后，点击下一步</w:t>
      </w:r>
    </w:p>
    <w:p>
      <w:pPr>
        <w:jc w:val="left"/>
      </w:pPr>
      <w:r>
        <w:drawing>
          <wp:inline distT="0" distB="0" distL="0" distR="0">
            <wp:extent cx="5274310" cy="2182495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2411095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t>第五步、填写签约方信息</w:t>
      </w:r>
    </w:p>
    <w:p>
      <w:pPr>
        <w:jc w:val="left"/>
      </w:pPr>
      <w:r>
        <w:rPr>
          <w:rFonts w:hint="eastAsia"/>
        </w:rPr>
        <w:t xml:space="preserve"> </w:t>
      </w:r>
      <w:r>
        <w:t xml:space="preserve">  选择相应的签约方单位、开户银行，并填写对应的收款账号、乙方联系人等信息后，点击下一步。</w:t>
      </w:r>
    </w:p>
    <w:p>
      <w:pPr>
        <w:jc w:val="left"/>
      </w:pPr>
      <w:r>
        <w:drawing>
          <wp:inline distT="0" distB="0" distL="0" distR="0">
            <wp:extent cx="5274310" cy="2127885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t>第六步、上传附件信息</w:t>
      </w:r>
    </w:p>
    <w:p>
      <w:pPr>
        <w:jc w:val="left"/>
      </w:pPr>
      <w:r>
        <w:rPr>
          <w:rFonts w:hint="eastAsia"/>
        </w:rPr>
        <w:t xml:space="preserve"> </w:t>
      </w:r>
      <w:r>
        <w:t xml:space="preserve"> 根据需要上传相应的附件电子档，上传后点击</w:t>
      </w:r>
      <w:r>
        <w:rPr>
          <w:rFonts w:hint="eastAsia"/>
          <w:sz w:val="24"/>
          <w:szCs w:val="24"/>
        </w:rPr>
        <w:t>【提交】，在合同列表界面可查看合同审批状态；创建合同完成等待审核。</w:t>
      </w:r>
    </w:p>
    <w:p>
      <w:pPr>
        <w:jc w:val="left"/>
      </w:pPr>
      <w:r>
        <w:drawing>
          <wp:inline distT="0" distB="0" distL="0" distR="0">
            <wp:extent cx="5274310" cy="2344420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numPr>
          <w:ilvl w:val="0"/>
          <w:numId w:val="1"/>
        </w:num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财务管理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sz w:val="24"/>
          <w:szCs w:val="28"/>
          <w:lang w:val="en-US" w:eastAsia="zh-CN"/>
        </w:rPr>
        <w:t>3.1</w:t>
      </w:r>
      <w:r>
        <w:rPr>
          <w:rFonts w:hint="eastAsia"/>
          <w:lang w:val="en-US" w:eastAsia="zh-CN"/>
        </w:rPr>
        <w:t>采购付款申请：日后所有有合同的付款，都从</w:t>
      </w:r>
      <w:r>
        <w:rPr>
          <w:rFonts w:hint="eastAsia"/>
        </w:rPr>
        <w:t>【</w:t>
      </w:r>
      <w:r>
        <w:rPr>
          <w:rFonts w:hint="eastAsia"/>
          <w:lang w:val="en-US" w:eastAsia="zh-CN"/>
        </w:rPr>
        <w:t>支出管理—采购付款申请</w:t>
      </w:r>
      <w:r>
        <w:rPr>
          <w:rFonts w:hint="eastAsia"/>
        </w:rPr>
        <w:t>】</w:t>
      </w:r>
      <w:r>
        <w:rPr>
          <w:rFonts w:hint="eastAsia"/>
          <w:lang w:val="en-US" w:eastAsia="zh-CN"/>
        </w:rPr>
        <w:t>操作，不再使用一般报销。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20" w:firstLineChars="200"/>
        <w:jc w:val="left"/>
        <w:textAlignment w:val="auto"/>
        <w:rPr>
          <w:rFonts w:hint="default"/>
          <w:b w:val="0"/>
          <w:bCs w:val="0"/>
          <w:color w:val="FF0000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4340860" cy="3253105"/>
            <wp:effectExtent l="0" t="0" r="254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340860" cy="325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lang w:val="en-US" w:eastAsia="zh-CN"/>
        </w:rPr>
      </w:pPr>
      <w:r>
        <w:rPr>
          <w:rFonts w:hint="eastAsia"/>
          <w:sz w:val="24"/>
          <w:szCs w:val="28"/>
          <w:lang w:val="en-US" w:eastAsia="zh-CN"/>
        </w:rPr>
        <w:t>3.2</w:t>
      </w:r>
      <w:r>
        <w:rPr>
          <w:rFonts w:hint="eastAsia"/>
          <w:lang w:val="en-US" w:eastAsia="zh-CN"/>
        </w:rPr>
        <w:t>类型：验收单、合同的说明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20" w:firstLineChars="200"/>
        <w:textAlignment w:val="auto"/>
        <w:rPr>
          <w:rFonts w:hint="default"/>
          <w:sz w:val="21"/>
          <w:szCs w:val="21"/>
          <w:lang w:val="en-US"/>
        </w:rPr>
      </w:pPr>
      <w:r>
        <w:rPr>
          <w:rFonts w:hint="eastAsia" w:ascii="宋体" w:hAnsi="宋体" w:eastAsia="宋体"/>
          <w:color w:val="000000" w:themeColor="text1"/>
          <w:sz w:val="21"/>
          <w:szCs w:val="21"/>
          <w:lang w:val="en-US" w:eastAsia="zh-CN"/>
        </w:rPr>
        <w:t>若采购按资产处采购科要求做了线上的验收审批，则此时选择</w:t>
      </w:r>
      <w:r>
        <w:rPr>
          <w:rFonts w:hint="eastAsia"/>
          <w:b w:val="0"/>
          <w:bCs w:val="0"/>
          <w:sz w:val="21"/>
          <w:szCs w:val="21"/>
        </w:rPr>
        <w:t>【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验收单</w:t>
      </w:r>
      <w:r>
        <w:rPr>
          <w:rFonts w:hint="eastAsia"/>
          <w:sz w:val="21"/>
          <w:szCs w:val="21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20" w:firstLineChars="200"/>
        <w:textAlignment w:val="auto"/>
        <w:rPr>
          <w:rFonts w:hint="default"/>
          <w:sz w:val="21"/>
          <w:szCs w:val="21"/>
          <w:lang w:val="en-US"/>
        </w:rPr>
      </w:pPr>
      <w:r>
        <w:rPr>
          <w:rFonts w:hint="eastAsia" w:ascii="宋体" w:hAnsi="宋体" w:eastAsia="宋体"/>
          <w:color w:val="000000" w:themeColor="text1"/>
          <w:sz w:val="21"/>
          <w:szCs w:val="21"/>
          <w:lang w:val="en-US" w:eastAsia="zh-CN"/>
        </w:rPr>
        <w:t>若采购做了线下的验收审批，则此时选择</w:t>
      </w:r>
      <w:r>
        <w:rPr>
          <w:rFonts w:hint="eastAsia"/>
          <w:b w:val="0"/>
          <w:bCs w:val="0"/>
          <w:sz w:val="21"/>
          <w:szCs w:val="21"/>
        </w:rPr>
        <w:t>【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合同</w:t>
      </w:r>
      <w:r>
        <w:rPr>
          <w:rFonts w:hint="eastAsia"/>
          <w:sz w:val="21"/>
          <w:szCs w:val="21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20" w:firstLineChars="200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任何选择，都会将合同申请时已录入的关联项目、收款信息等内容带入，减少报账时的工作量，</w:t>
      </w:r>
      <w:r>
        <w:rPr>
          <w:rFonts w:hint="eastAsia"/>
          <w:color w:val="FF0000"/>
          <w:sz w:val="21"/>
          <w:szCs w:val="21"/>
          <w:lang w:val="en-US" w:eastAsia="zh-CN"/>
        </w:rPr>
        <w:t>后续操作与一般报销操作方法一致</w:t>
      </w:r>
      <w:r>
        <w:rPr>
          <w:rFonts w:hint="eastAsia"/>
          <w:sz w:val="21"/>
          <w:szCs w:val="21"/>
          <w:lang w:val="en-US" w:eastAsia="zh-CN"/>
        </w:rPr>
        <w:t xml:space="preserve">。 </w:t>
      </w:r>
    </w:p>
    <w:p>
      <w:pPr>
        <w:rPr>
          <w:rFonts w:hint="eastAsia"/>
          <w:sz w:val="21"/>
          <w:szCs w:val="21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jc w:val="left"/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0BC79"/>
    <w:multiLevelType w:val="singleLevel"/>
    <w:tmpl w:val="1770BC79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6A09"/>
    <w:rsid w:val="00002C55"/>
    <w:rsid w:val="0000564C"/>
    <w:rsid w:val="00011BDC"/>
    <w:rsid w:val="000178A4"/>
    <w:rsid w:val="00024F99"/>
    <w:rsid w:val="00030CD0"/>
    <w:rsid w:val="000336FE"/>
    <w:rsid w:val="00041E6F"/>
    <w:rsid w:val="000430A7"/>
    <w:rsid w:val="0004359E"/>
    <w:rsid w:val="0004614A"/>
    <w:rsid w:val="0005211B"/>
    <w:rsid w:val="0005523F"/>
    <w:rsid w:val="00063C05"/>
    <w:rsid w:val="0006639D"/>
    <w:rsid w:val="00066F83"/>
    <w:rsid w:val="00071788"/>
    <w:rsid w:val="00075B57"/>
    <w:rsid w:val="000814B2"/>
    <w:rsid w:val="00092E48"/>
    <w:rsid w:val="00093AE3"/>
    <w:rsid w:val="0009453F"/>
    <w:rsid w:val="000A1BBF"/>
    <w:rsid w:val="000A2BBC"/>
    <w:rsid w:val="000C0589"/>
    <w:rsid w:val="000C070A"/>
    <w:rsid w:val="000D008D"/>
    <w:rsid w:val="000D2D82"/>
    <w:rsid w:val="000D633E"/>
    <w:rsid w:val="000D7281"/>
    <w:rsid w:val="000D7668"/>
    <w:rsid w:val="000E6DF8"/>
    <w:rsid w:val="001000B5"/>
    <w:rsid w:val="00101B54"/>
    <w:rsid w:val="001050B8"/>
    <w:rsid w:val="001158ED"/>
    <w:rsid w:val="001215D2"/>
    <w:rsid w:val="0014124E"/>
    <w:rsid w:val="00146E82"/>
    <w:rsid w:val="00150E17"/>
    <w:rsid w:val="001615E7"/>
    <w:rsid w:val="0016544B"/>
    <w:rsid w:val="00171967"/>
    <w:rsid w:val="00176193"/>
    <w:rsid w:val="00186C60"/>
    <w:rsid w:val="001C113F"/>
    <w:rsid w:val="001D2C43"/>
    <w:rsid w:val="001D4905"/>
    <w:rsid w:val="001F3C01"/>
    <w:rsid w:val="00200D7F"/>
    <w:rsid w:val="0020494C"/>
    <w:rsid w:val="00213CD2"/>
    <w:rsid w:val="0025048A"/>
    <w:rsid w:val="002520D0"/>
    <w:rsid w:val="00252235"/>
    <w:rsid w:val="00255AE2"/>
    <w:rsid w:val="002616BC"/>
    <w:rsid w:val="00264315"/>
    <w:rsid w:val="00287C28"/>
    <w:rsid w:val="00291299"/>
    <w:rsid w:val="002A0C5C"/>
    <w:rsid w:val="002A0F90"/>
    <w:rsid w:val="002A52C4"/>
    <w:rsid w:val="002A5B54"/>
    <w:rsid w:val="002A6283"/>
    <w:rsid w:val="002A64BF"/>
    <w:rsid w:val="002B3F8E"/>
    <w:rsid w:val="002B43C9"/>
    <w:rsid w:val="002D35E5"/>
    <w:rsid w:val="002E337E"/>
    <w:rsid w:val="002F5CF0"/>
    <w:rsid w:val="00317ED8"/>
    <w:rsid w:val="003232D3"/>
    <w:rsid w:val="00327223"/>
    <w:rsid w:val="003275C9"/>
    <w:rsid w:val="00331245"/>
    <w:rsid w:val="0034008F"/>
    <w:rsid w:val="00347591"/>
    <w:rsid w:val="0037419B"/>
    <w:rsid w:val="003870E6"/>
    <w:rsid w:val="003939D2"/>
    <w:rsid w:val="003A2CFA"/>
    <w:rsid w:val="003C2355"/>
    <w:rsid w:val="003C374A"/>
    <w:rsid w:val="003C3AC3"/>
    <w:rsid w:val="003C3F1D"/>
    <w:rsid w:val="003C67E1"/>
    <w:rsid w:val="003D34CF"/>
    <w:rsid w:val="003D7A3E"/>
    <w:rsid w:val="004151E3"/>
    <w:rsid w:val="004152E5"/>
    <w:rsid w:val="004216FE"/>
    <w:rsid w:val="004416F5"/>
    <w:rsid w:val="00445D7D"/>
    <w:rsid w:val="0045388D"/>
    <w:rsid w:val="004556E2"/>
    <w:rsid w:val="004567FD"/>
    <w:rsid w:val="00460E61"/>
    <w:rsid w:val="0047595F"/>
    <w:rsid w:val="00482433"/>
    <w:rsid w:val="00495E85"/>
    <w:rsid w:val="004A0282"/>
    <w:rsid w:val="004A6061"/>
    <w:rsid w:val="004B7D95"/>
    <w:rsid w:val="004E1F96"/>
    <w:rsid w:val="004E42F3"/>
    <w:rsid w:val="004E5882"/>
    <w:rsid w:val="004F1A11"/>
    <w:rsid w:val="005026E7"/>
    <w:rsid w:val="00503052"/>
    <w:rsid w:val="00511C4F"/>
    <w:rsid w:val="00532DA1"/>
    <w:rsid w:val="00536293"/>
    <w:rsid w:val="00537F57"/>
    <w:rsid w:val="00541489"/>
    <w:rsid w:val="00541BD4"/>
    <w:rsid w:val="0054258F"/>
    <w:rsid w:val="00542829"/>
    <w:rsid w:val="00551C7F"/>
    <w:rsid w:val="00555957"/>
    <w:rsid w:val="005575A8"/>
    <w:rsid w:val="00557666"/>
    <w:rsid w:val="00563A72"/>
    <w:rsid w:val="00570744"/>
    <w:rsid w:val="005752BF"/>
    <w:rsid w:val="00581545"/>
    <w:rsid w:val="005823BF"/>
    <w:rsid w:val="00583E46"/>
    <w:rsid w:val="00590B57"/>
    <w:rsid w:val="00596A98"/>
    <w:rsid w:val="00597ADE"/>
    <w:rsid w:val="005A2106"/>
    <w:rsid w:val="005B0859"/>
    <w:rsid w:val="005C5447"/>
    <w:rsid w:val="005D1FE5"/>
    <w:rsid w:val="005E3877"/>
    <w:rsid w:val="005E417C"/>
    <w:rsid w:val="005F00D0"/>
    <w:rsid w:val="005F0B44"/>
    <w:rsid w:val="00602E45"/>
    <w:rsid w:val="0061404E"/>
    <w:rsid w:val="00632AB4"/>
    <w:rsid w:val="006336BC"/>
    <w:rsid w:val="00636C98"/>
    <w:rsid w:val="00641324"/>
    <w:rsid w:val="00646B9A"/>
    <w:rsid w:val="0065086B"/>
    <w:rsid w:val="00656448"/>
    <w:rsid w:val="006755CA"/>
    <w:rsid w:val="006831D3"/>
    <w:rsid w:val="006B6A09"/>
    <w:rsid w:val="006C122B"/>
    <w:rsid w:val="006C5986"/>
    <w:rsid w:val="006C7851"/>
    <w:rsid w:val="006D0C53"/>
    <w:rsid w:val="006F00DB"/>
    <w:rsid w:val="006F147F"/>
    <w:rsid w:val="00713148"/>
    <w:rsid w:val="0072007C"/>
    <w:rsid w:val="007336A3"/>
    <w:rsid w:val="00733D51"/>
    <w:rsid w:val="00743744"/>
    <w:rsid w:val="00743B61"/>
    <w:rsid w:val="00772C42"/>
    <w:rsid w:val="00782668"/>
    <w:rsid w:val="0078472C"/>
    <w:rsid w:val="007978A8"/>
    <w:rsid w:val="007B40C8"/>
    <w:rsid w:val="007B5BE6"/>
    <w:rsid w:val="007E545A"/>
    <w:rsid w:val="007E62FF"/>
    <w:rsid w:val="00802CF3"/>
    <w:rsid w:val="00810697"/>
    <w:rsid w:val="00811351"/>
    <w:rsid w:val="00814E0C"/>
    <w:rsid w:val="00815EBC"/>
    <w:rsid w:val="00816AC1"/>
    <w:rsid w:val="008365D0"/>
    <w:rsid w:val="00837895"/>
    <w:rsid w:val="00837C9F"/>
    <w:rsid w:val="008407E2"/>
    <w:rsid w:val="00842CE6"/>
    <w:rsid w:val="00880B70"/>
    <w:rsid w:val="0088637C"/>
    <w:rsid w:val="008A07AA"/>
    <w:rsid w:val="008C0784"/>
    <w:rsid w:val="008C0982"/>
    <w:rsid w:val="008C743A"/>
    <w:rsid w:val="008D1873"/>
    <w:rsid w:val="008F59DF"/>
    <w:rsid w:val="00904DF3"/>
    <w:rsid w:val="00905C51"/>
    <w:rsid w:val="00906F76"/>
    <w:rsid w:val="00907B66"/>
    <w:rsid w:val="0091713F"/>
    <w:rsid w:val="00924DFF"/>
    <w:rsid w:val="00933AD1"/>
    <w:rsid w:val="00941C3D"/>
    <w:rsid w:val="00957570"/>
    <w:rsid w:val="00964109"/>
    <w:rsid w:val="009659B0"/>
    <w:rsid w:val="00966EA6"/>
    <w:rsid w:val="0096784C"/>
    <w:rsid w:val="00970663"/>
    <w:rsid w:val="00983322"/>
    <w:rsid w:val="009862C3"/>
    <w:rsid w:val="00991555"/>
    <w:rsid w:val="00995964"/>
    <w:rsid w:val="00996B50"/>
    <w:rsid w:val="009A0C75"/>
    <w:rsid w:val="009A42F3"/>
    <w:rsid w:val="009C2751"/>
    <w:rsid w:val="009C75F9"/>
    <w:rsid w:val="009D07AD"/>
    <w:rsid w:val="009D49A3"/>
    <w:rsid w:val="009D6065"/>
    <w:rsid w:val="009E3DF8"/>
    <w:rsid w:val="009E465E"/>
    <w:rsid w:val="009F50A3"/>
    <w:rsid w:val="00A029BB"/>
    <w:rsid w:val="00A17178"/>
    <w:rsid w:val="00A2067E"/>
    <w:rsid w:val="00A232E5"/>
    <w:rsid w:val="00A30E23"/>
    <w:rsid w:val="00A33DCE"/>
    <w:rsid w:val="00A365F0"/>
    <w:rsid w:val="00A43DE9"/>
    <w:rsid w:val="00A441FA"/>
    <w:rsid w:val="00A65E59"/>
    <w:rsid w:val="00A84307"/>
    <w:rsid w:val="00A915D8"/>
    <w:rsid w:val="00A93795"/>
    <w:rsid w:val="00A93CF9"/>
    <w:rsid w:val="00AA4777"/>
    <w:rsid w:val="00AA64D9"/>
    <w:rsid w:val="00AB5305"/>
    <w:rsid w:val="00AC1FFD"/>
    <w:rsid w:val="00AC479E"/>
    <w:rsid w:val="00AC69B9"/>
    <w:rsid w:val="00AC7C19"/>
    <w:rsid w:val="00AD11D1"/>
    <w:rsid w:val="00AF5D60"/>
    <w:rsid w:val="00B0292F"/>
    <w:rsid w:val="00B14AD9"/>
    <w:rsid w:val="00B35588"/>
    <w:rsid w:val="00B47C3C"/>
    <w:rsid w:val="00B673B4"/>
    <w:rsid w:val="00B803C4"/>
    <w:rsid w:val="00B85862"/>
    <w:rsid w:val="00B85BF6"/>
    <w:rsid w:val="00B85FF2"/>
    <w:rsid w:val="00B97208"/>
    <w:rsid w:val="00BA0CDF"/>
    <w:rsid w:val="00BA3EB0"/>
    <w:rsid w:val="00BA63D6"/>
    <w:rsid w:val="00BB4154"/>
    <w:rsid w:val="00BC441E"/>
    <w:rsid w:val="00BD075C"/>
    <w:rsid w:val="00BD07F8"/>
    <w:rsid w:val="00BD5819"/>
    <w:rsid w:val="00BF1A8B"/>
    <w:rsid w:val="00BF3C70"/>
    <w:rsid w:val="00BF5560"/>
    <w:rsid w:val="00BF586B"/>
    <w:rsid w:val="00BF7963"/>
    <w:rsid w:val="00C02966"/>
    <w:rsid w:val="00C06DBE"/>
    <w:rsid w:val="00C077F2"/>
    <w:rsid w:val="00C13418"/>
    <w:rsid w:val="00C17FFD"/>
    <w:rsid w:val="00C4669E"/>
    <w:rsid w:val="00C57320"/>
    <w:rsid w:val="00C87C55"/>
    <w:rsid w:val="00C924D9"/>
    <w:rsid w:val="00C92F39"/>
    <w:rsid w:val="00C930F3"/>
    <w:rsid w:val="00CA0C65"/>
    <w:rsid w:val="00CA5CD0"/>
    <w:rsid w:val="00CB53BB"/>
    <w:rsid w:val="00CD187B"/>
    <w:rsid w:val="00CD6278"/>
    <w:rsid w:val="00CD7162"/>
    <w:rsid w:val="00CE55F5"/>
    <w:rsid w:val="00CE6639"/>
    <w:rsid w:val="00CF7F84"/>
    <w:rsid w:val="00D32314"/>
    <w:rsid w:val="00D344FF"/>
    <w:rsid w:val="00D66B33"/>
    <w:rsid w:val="00D72B53"/>
    <w:rsid w:val="00D75F1D"/>
    <w:rsid w:val="00D771C1"/>
    <w:rsid w:val="00D81C55"/>
    <w:rsid w:val="00D862D7"/>
    <w:rsid w:val="00D93965"/>
    <w:rsid w:val="00DA1C42"/>
    <w:rsid w:val="00DB3F2F"/>
    <w:rsid w:val="00DC4A9E"/>
    <w:rsid w:val="00DD72E2"/>
    <w:rsid w:val="00DD7DAF"/>
    <w:rsid w:val="00DE3AE3"/>
    <w:rsid w:val="00DE435D"/>
    <w:rsid w:val="00E04754"/>
    <w:rsid w:val="00E04DF7"/>
    <w:rsid w:val="00E06B5C"/>
    <w:rsid w:val="00E1648D"/>
    <w:rsid w:val="00E223FB"/>
    <w:rsid w:val="00E24B04"/>
    <w:rsid w:val="00E26F50"/>
    <w:rsid w:val="00E35385"/>
    <w:rsid w:val="00E421BC"/>
    <w:rsid w:val="00E60B06"/>
    <w:rsid w:val="00E62E9F"/>
    <w:rsid w:val="00E7560D"/>
    <w:rsid w:val="00E92CC6"/>
    <w:rsid w:val="00EB47A2"/>
    <w:rsid w:val="00EC08B8"/>
    <w:rsid w:val="00EC1A8B"/>
    <w:rsid w:val="00ED6C30"/>
    <w:rsid w:val="00EE28C0"/>
    <w:rsid w:val="00EE721B"/>
    <w:rsid w:val="00EF0287"/>
    <w:rsid w:val="00F000CB"/>
    <w:rsid w:val="00F0019F"/>
    <w:rsid w:val="00F02CD3"/>
    <w:rsid w:val="00F03C48"/>
    <w:rsid w:val="00F04599"/>
    <w:rsid w:val="00F171D6"/>
    <w:rsid w:val="00F361DB"/>
    <w:rsid w:val="00F416B6"/>
    <w:rsid w:val="00F476A4"/>
    <w:rsid w:val="00F67A8E"/>
    <w:rsid w:val="00FA40D3"/>
    <w:rsid w:val="00FA63C4"/>
    <w:rsid w:val="00FA682A"/>
    <w:rsid w:val="00FB3DB9"/>
    <w:rsid w:val="00FB4E8B"/>
    <w:rsid w:val="00FB5E47"/>
    <w:rsid w:val="00FC43F2"/>
    <w:rsid w:val="00FD4838"/>
    <w:rsid w:val="00FE61C4"/>
    <w:rsid w:val="00FF18C4"/>
    <w:rsid w:val="00FF464B"/>
    <w:rsid w:val="00FF6A12"/>
    <w:rsid w:val="01A3073B"/>
    <w:rsid w:val="053718C6"/>
    <w:rsid w:val="0DCC76A8"/>
    <w:rsid w:val="0FF24D67"/>
    <w:rsid w:val="10CD1330"/>
    <w:rsid w:val="110C1E59"/>
    <w:rsid w:val="174C1201"/>
    <w:rsid w:val="2DA87CAA"/>
    <w:rsid w:val="2F794705"/>
    <w:rsid w:val="320C1861"/>
    <w:rsid w:val="466730B2"/>
    <w:rsid w:val="47F630F4"/>
    <w:rsid w:val="4CE52F83"/>
    <w:rsid w:val="59747984"/>
    <w:rsid w:val="5D883BE2"/>
    <w:rsid w:val="71671385"/>
    <w:rsid w:val="71B7463E"/>
    <w:rsid w:val="71BA7C8A"/>
    <w:rsid w:val="727A7B45"/>
    <w:rsid w:val="76261D92"/>
    <w:rsid w:val="76A11B45"/>
    <w:rsid w:val="7C0A6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2"/>
    <w:basedOn w:val="1"/>
    <w:next w:val="1"/>
    <w:link w:val="2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link w:val="20"/>
    <w:semiHidden/>
    <w:unhideWhenUsed/>
    <w:qFormat/>
    <w:uiPriority w:val="0"/>
    <w:pPr>
      <w:spacing w:beforeAutospacing="1" w:afterAutospacing="1"/>
      <w:jc w:val="left"/>
      <w:outlineLvl w:val="4"/>
    </w:pPr>
    <w:rPr>
      <w:rFonts w:hint="eastAsia" w:ascii="宋体" w:hAnsi="宋体" w:eastAsia="宋体" w:cs="Times New Roman"/>
      <w:b/>
      <w:kern w:val="0"/>
      <w:sz w:val="20"/>
      <w:szCs w:val="20"/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3"/>
    <w:basedOn w:val="1"/>
    <w:next w:val="1"/>
    <w:unhideWhenUsed/>
    <w:uiPriority w:val="39"/>
    <w:pPr>
      <w:ind w:left="840" w:leftChars="400"/>
    </w:pPr>
  </w:style>
  <w:style w:type="paragraph" w:styleId="7">
    <w:name w:val="Balloon Text"/>
    <w:basedOn w:val="1"/>
    <w:link w:val="18"/>
    <w:semiHidden/>
    <w:unhideWhenUsed/>
    <w:uiPriority w:val="99"/>
    <w:rPr>
      <w:sz w:val="18"/>
      <w:szCs w:val="18"/>
    </w:rPr>
  </w:style>
  <w:style w:type="paragraph" w:styleId="8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uiPriority w:val="39"/>
  </w:style>
  <w:style w:type="paragraph" w:styleId="11">
    <w:name w:val="toc 2"/>
    <w:basedOn w:val="1"/>
    <w:next w:val="1"/>
    <w:unhideWhenUsed/>
    <w:uiPriority w:val="39"/>
    <w:pPr>
      <w:ind w:left="420" w:leftChars="200"/>
    </w:pPr>
  </w:style>
  <w:style w:type="paragraph" w:styleId="12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15">
    <w:name w:val="Hyperlink"/>
    <w:basedOn w:val="14"/>
    <w:qFormat/>
    <w:uiPriority w:val="99"/>
    <w:rPr>
      <w:color w:val="0000FF"/>
      <w:u w:val="single"/>
    </w:rPr>
  </w:style>
  <w:style w:type="character" w:customStyle="1" w:styleId="16">
    <w:name w:val="页眉 字符"/>
    <w:basedOn w:val="14"/>
    <w:link w:val="9"/>
    <w:uiPriority w:val="99"/>
    <w:rPr>
      <w:sz w:val="18"/>
      <w:szCs w:val="18"/>
    </w:rPr>
  </w:style>
  <w:style w:type="character" w:customStyle="1" w:styleId="17">
    <w:name w:val="页脚 字符"/>
    <w:basedOn w:val="14"/>
    <w:link w:val="8"/>
    <w:uiPriority w:val="99"/>
    <w:rPr>
      <w:sz w:val="18"/>
      <w:szCs w:val="18"/>
    </w:rPr>
  </w:style>
  <w:style w:type="character" w:customStyle="1" w:styleId="18">
    <w:name w:val="批注框文本 字符"/>
    <w:basedOn w:val="14"/>
    <w:link w:val="7"/>
    <w:semiHidden/>
    <w:uiPriority w:val="99"/>
    <w:rPr>
      <w:sz w:val="18"/>
      <w:szCs w:val="18"/>
    </w:rPr>
  </w:style>
  <w:style w:type="character" w:customStyle="1" w:styleId="19">
    <w:name w:val="标题 1 字符"/>
    <w:basedOn w:val="14"/>
    <w:link w:val="2"/>
    <w:uiPriority w:val="0"/>
    <w:rPr>
      <w:rFonts w:ascii="宋体" w:hAnsi="宋体" w:eastAsia="宋体" w:cs="Times New Roman"/>
      <w:b/>
      <w:kern w:val="44"/>
      <w:sz w:val="48"/>
      <w:szCs w:val="48"/>
    </w:rPr>
  </w:style>
  <w:style w:type="character" w:customStyle="1" w:styleId="20">
    <w:name w:val="标题 5 字符"/>
    <w:basedOn w:val="14"/>
    <w:link w:val="5"/>
    <w:semiHidden/>
    <w:uiPriority w:val="0"/>
    <w:rPr>
      <w:rFonts w:ascii="宋体" w:hAnsi="宋体" w:eastAsia="宋体" w:cs="Times New Roman"/>
      <w:b/>
      <w:kern w:val="0"/>
      <w:sz w:val="20"/>
      <w:szCs w:val="20"/>
    </w:rPr>
  </w:style>
  <w:style w:type="character" w:customStyle="1" w:styleId="21">
    <w:name w:val="标题 3 字符"/>
    <w:basedOn w:val="14"/>
    <w:link w:val="4"/>
    <w:uiPriority w:val="9"/>
    <w:rPr>
      <w:b/>
      <w:bCs/>
      <w:sz w:val="32"/>
      <w:szCs w:val="32"/>
    </w:rPr>
  </w:style>
  <w:style w:type="paragraph" w:customStyle="1" w:styleId="22">
    <w:name w:val="TOC Heading"/>
    <w:basedOn w:val="2"/>
    <w:next w:val="1"/>
    <w:unhideWhenUsed/>
    <w:qFormat/>
    <w:uiPriority w:val="39"/>
    <w:pPr>
      <w:keepNext/>
      <w:keepLines/>
      <w:widowControl/>
      <w:spacing w:before="240" w:beforeAutospacing="0" w:afterAutospacing="0" w:line="259" w:lineRule="auto"/>
      <w:outlineLvl w:val="9"/>
    </w:pPr>
    <w:rPr>
      <w:rFonts w:hint="default" w:asciiTheme="majorHAnsi" w:hAnsiTheme="majorHAnsi" w:eastAsiaTheme="majorEastAsia" w:cstheme="majorBidi"/>
      <w:b w:val="0"/>
      <w:color w:val="366091" w:themeColor="accent1" w:themeShade="BF"/>
      <w:kern w:val="0"/>
      <w:sz w:val="32"/>
      <w:szCs w:val="32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标题 2 字符"/>
    <w:basedOn w:val="14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25">
    <w:name w:val="No Spacing"/>
    <w:qFormat/>
    <w:uiPriority w:val="1"/>
    <w:pPr>
      <w:widowControl w:val="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4" Type="http://schemas.openxmlformats.org/officeDocument/2006/relationships/fontTable" Target="fontTable.xml"/><Relationship Id="rId33" Type="http://schemas.openxmlformats.org/officeDocument/2006/relationships/customXml" Target="../customXml/item2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B946D6-BBAC-4C83-BB4D-DB98F250C2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11</Pages>
  <Words>305</Words>
  <Characters>1741</Characters>
  <Lines>14</Lines>
  <Paragraphs>4</Paragraphs>
  <TotalTime>1</TotalTime>
  <ScaleCrop>false</ScaleCrop>
  <LinksUpToDate>false</LinksUpToDate>
  <CharactersWithSpaces>2042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2020-12-23T02:27:00Z</dcterms:created>
  <dc:creator>wd</dc:creator>
  <cp:lastModifiedBy>王钊</cp:lastModifiedBy>
  <dcterms:modified xsi:type="dcterms:W3CDTF">2021-12-27T01:30:47Z</dcterms:modified>
  <cp:revision>746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D85253D00203432E9F36CA8F2A8FFFCF</vt:lpwstr>
  </property>
</Properties>
</file>