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line="440" w:lineRule="exact"/>
        <w:jc w:val="center"/>
        <w:textAlignment w:val="baseline"/>
        <w:rPr>
          <w:rFonts w:ascii="微软雅黑" w:hAnsi="微软雅黑" w:eastAsia="微软雅黑" w:cs="微软雅黑"/>
          <w:b/>
          <w:sz w:val="30"/>
          <w:szCs w:val="30"/>
        </w:rPr>
      </w:pPr>
      <w:r>
        <w:rPr>
          <w:rFonts w:hint="eastAsia" w:ascii="微软雅黑" w:hAnsi="微软雅黑" w:eastAsia="微软雅黑" w:cs="微软雅黑"/>
          <w:b/>
          <w:sz w:val="30"/>
          <w:szCs w:val="30"/>
        </w:rPr>
        <w:t>通识教育讲座</w:t>
      </w:r>
    </w:p>
    <w:p>
      <w:pPr>
        <w:pStyle w:val="2"/>
        <w:widowControl/>
        <w:spacing w:line="440" w:lineRule="exact"/>
        <w:jc w:val="center"/>
        <w:textAlignment w:val="baseline"/>
        <w:rPr>
          <w:rFonts w:hint="eastAsia" w:ascii="微软雅黑" w:hAnsi="微软雅黑" w:eastAsia="微软雅黑" w:cs="微软雅黑"/>
          <w:b/>
          <w:sz w:val="30"/>
          <w:szCs w:val="30"/>
          <w:lang w:val="en-US" w:eastAsia="zh-CN"/>
        </w:rPr>
      </w:pPr>
      <w:r>
        <w:rPr>
          <w:rFonts w:hint="eastAsia" w:ascii="微软雅黑" w:hAnsi="微软雅黑" w:eastAsia="微软雅黑" w:cs="微软雅黑"/>
          <w:b/>
          <w:sz w:val="30"/>
          <w:szCs w:val="30"/>
          <w:lang w:val="en-US" w:eastAsia="zh-CN"/>
        </w:rPr>
        <w:t>第73讲：如何高效地学好大学英语</w:t>
      </w:r>
    </w:p>
    <w:p>
      <w:pPr>
        <w:pStyle w:val="2"/>
        <w:widowControl/>
        <w:spacing w:line="440" w:lineRule="exact"/>
        <w:jc w:val="center"/>
        <w:textAlignment w:val="baseline"/>
        <w:rPr>
          <w:rFonts w:ascii="微软雅黑" w:hAnsi="微软雅黑" w:eastAsia="微软雅黑" w:cs="微软雅黑"/>
          <w:b/>
          <w:sz w:val="30"/>
          <w:szCs w:val="30"/>
        </w:rPr>
      </w:pPr>
    </w:p>
    <w:p>
      <w:pPr>
        <w:pStyle w:val="2"/>
        <w:widowControl/>
        <w:spacing w:line="440" w:lineRule="exact"/>
        <w:ind w:firstLine="482" w:firstLineChars="200"/>
        <w:textAlignment w:val="baseline"/>
        <w:rPr>
          <w:rFonts w:hint="eastAsia" w:cs="宋体" w:asciiTheme="minorEastAsia" w:hAnsiTheme="minorEastAsia"/>
        </w:rPr>
      </w:pPr>
      <w:r>
        <w:rPr>
          <w:rFonts w:cs="Tahoma" w:asciiTheme="minorEastAsia" w:hAnsiTheme="minorEastAsia"/>
          <w:b/>
          <w:bCs/>
        </w:rPr>
        <w:t>主</w:t>
      </w:r>
      <w:r>
        <w:rPr>
          <w:rFonts w:hint="eastAsia" w:cs="Tahoma" w:asciiTheme="minorEastAsia" w:hAnsiTheme="minorEastAsia"/>
          <w:b/>
          <w:bCs/>
        </w:rPr>
        <w:t xml:space="preserve">  </w:t>
      </w:r>
      <w:r>
        <w:rPr>
          <w:rFonts w:cs="Tahoma" w:asciiTheme="minorEastAsia" w:hAnsiTheme="minorEastAsia"/>
          <w:b/>
          <w:bCs/>
        </w:rPr>
        <w:t>题：</w:t>
      </w:r>
      <w:r>
        <w:rPr>
          <w:rFonts w:hint="eastAsia" w:cs="宋体" w:asciiTheme="minorEastAsia" w:hAnsiTheme="minorEastAsia"/>
        </w:rPr>
        <w:t>如何高效地学好大学英语</w:t>
      </w:r>
    </w:p>
    <w:p>
      <w:pPr>
        <w:pStyle w:val="2"/>
        <w:widowControl/>
        <w:spacing w:line="440" w:lineRule="exact"/>
        <w:ind w:firstLine="482" w:firstLineChars="200"/>
        <w:textAlignment w:val="baseline"/>
        <w:rPr>
          <w:rFonts w:cs="Tahoma" w:asciiTheme="minorEastAsia" w:hAnsiTheme="minorEastAsia"/>
        </w:rPr>
      </w:pPr>
      <w:r>
        <w:rPr>
          <w:rFonts w:cs="Tahoma" w:asciiTheme="minorEastAsia" w:hAnsiTheme="minorEastAsia"/>
          <w:b/>
          <w:bCs/>
        </w:rPr>
        <w:t>主讲人：</w:t>
      </w:r>
      <w:r>
        <w:rPr>
          <w:rFonts w:hint="eastAsia" w:ascii="宋体" w:hAnsi="宋体" w:cs="宋体"/>
          <w:lang w:val="en-US" w:eastAsia="zh-CN"/>
        </w:rPr>
        <w:t>甘玲玲</w:t>
      </w:r>
      <w:r>
        <w:rPr>
          <w:rFonts w:hint="eastAsia" w:cs="宋体" w:asciiTheme="minorEastAsia" w:hAnsiTheme="minorEastAsia"/>
        </w:rPr>
        <w:t xml:space="preserve"> </w:t>
      </w:r>
      <w:r>
        <w:rPr>
          <w:rFonts w:hint="eastAsia" w:ascii="宋体" w:hAnsi="宋体" w:cs="宋体"/>
          <w:lang w:val="en-US" w:eastAsia="zh-CN"/>
        </w:rPr>
        <w:t>副教授</w:t>
      </w:r>
    </w:p>
    <w:p>
      <w:pPr>
        <w:pStyle w:val="2"/>
        <w:widowControl/>
        <w:spacing w:line="440" w:lineRule="exact"/>
        <w:ind w:firstLine="482" w:firstLineChars="200"/>
        <w:textAlignment w:val="baseline"/>
        <w:rPr>
          <w:rFonts w:cs="Tahoma" w:asciiTheme="minorEastAsia" w:hAnsiTheme="minorEastAsia"/>
        </w:rPr>
      </w:pPr>
      <w:r>
        <w:rPr>
          <w:rFonts w:cs="Tahoma" w:asciiTheme="minorEastAsia" w:hAnsiTheme="minorEastAsia"/>
          <w:b/>
          <w:bCs/>
        </w:rPr>
        <w:t>时</w:t>
      </w:r>
      <w:r>
        <w:rPr>
          <w:rFonts w:hint="eastAsia" w:cs="Tahoma" w:asciiTheme="minorEastAsia" w:hAnsiTheme="minorEastAsia"/>
          <w:b/>
          <w:bCs/>
        </w:rPr>
        <w:t xml:space="preserve">  </w:t>
      </w:r>
      <w:r>
        <w:rPr>
          <w:rFonts w:cs="Tahoma" w:asciiTheme="minorEastAsia" w:hAnsiTheme="minorEastAsia"/>
          <w:b/>
          <w:bCs/>
        </w:rPr>
        <w:t>间：</w:t>
      </w:r>
      <w:r>
        <w:rPr>
          <w:rFonts w:cs="Tahoma" w:asciiTheme="minorEastAsia" w:hAnsiTheme="minorEastAsia"/>
        </w:rPr>
        <w:t>20</w:t>
      </w:r>
      <w:r>
        <w:rPr>
          <w:rFonts w:hint="eastAsia" w:cs="Tahoma" w:asciiTheme="minorEastAsia" w:hAnsiTheme="minorEastAsia"/>
        </w:rPr>
        <w:t>20</w:t>
      </w:r>
      <w:r>
        <w:rPr>
          <w:rFonts w:cs="Tahoma" w:asciiTheme="minorEastAsia" w:hAnsiTheme="minorEastAsia"/>
        </w:rPr>
        <w:t>年4月</w:t>
      </w:r>
      <w:r>
        <w:rPr>
          <w:rFonts w:hint="eastAsia" w:cs="Tahoma" w:asciiTheme="minorEastAsia" w:hAnsiTheme="minorEastAsia"/>
          <w:lang w:val="en-US" w:eastAsia="zh-CN"/>
        </w:rPr>
        <w:t>29</w:t>
      </w:r>
      <w:r>
        <w:rPr>
          <w:rFonts w:cs="Tahoma" w:asciiTheme="minorEastAsia" w:hAnsiTheme="minorEastAsia"/>
        </w:rPr>
        <w:t>日</w:t>
      </w:r>
      <w:r>
        <w:rPr>
          <w:rFonts w:hint="eastAsia" w:cs="Tahoma" w:asciiTheme="minorEastAsia" w:hAnsiTheme="minorEastAsia"/>
        </w:rPr>
        <w:t>（</w:t>
      </w:r>
      <w:r>
        <w:rPr>
          <w:rFonts w:cs="Tahoma" w:asciiTheme="minorEastAsia" w:hAnsiTheme="minorEastAsia"/>
        </w:rPr>
        <w:t>星期</w:t>
      </w:r>
      <w:r>
        <w:rPr>
          <w:rFonts w:hint="eastAsia" w:cs="Tahoma" w:asciiTheme="minorEastAsia" w:hAnsiTheme="minorEastAsia"/>
          <w:lang w:val="en-US" w:eastAsia="zh-CN"/>
        </w:rPr>
        <w:t>三</w:t>
      </w:r>
      <w:r>
        <w:rPr>
          <w:rFonts w:hint="eastAsia" w:cs="Tahoma" w:asciiTheme="minorEastAsia" w:hAnsiTheme="minorEastAsia"/>
        </w:rPr>
        <w:t>）</w:t>
      </w:r>
      <w:r>
        <w:rPr>
          <w:rFonts w:cs="Tahoma" w:asciiTheme="minorEastAsia" w:hAnsiTheme="minorEastAsia"/>
        </w:rPr>
        <w:t>19:</w:t>
      </w:r>
      <w:r>
        <w:rPr>
          <w:rFonts w:hint="eastAsia" w:cs="Tahoma" w:asciiTheme="minorEastAsia" w:hAnsiTheme="minorEastAsia"/>
        </w:rPr>
        <w:t>3</w:t>
      </w:r>
      <w:r>
        <w:rPr>
          <w:rFonts w:cs="Tahoma" w:asciiTheme="minorEastAsia" w:hAnsiTheme="minorEastAsia"/>
        </w:rPr>
        <w:t>0～21:</w:t>
      </w:r>
      <w:r>
        <w:rPr>
          <w:rFonts w:hint="eastAsia" w:cs="Tahoma" w:asciiTheme="minorEastAsia" w:hAnsiTheme="minorEastAsia"/>
        </w:rPr>
        <w:t>3</w:t>
      </w:r>
      <w:r>
        <w:rPr>
          <w:rFonts w:cs="Tahoma" w:asciiTheme="minorEastAsia" w:hAnsiTheme="minorEastAsia"/>
        </w:rPr>
        <w:t>0</w:t>
      </w:r>
    </w:p>
    <w:p>
      <w:pPr>
        <w:spacing w:line="360" w:lineRule="auto"/>
        <w:ind w:firstLine="482" w:firstLineChars="200"/>
        <w:rPr>
          <w:rFonts w:cs="宋体" w:asciiTheme="minorEastAsia" w:hAnsiTheme="minorEastAsia"/>
          <w:sz w:val="24"/>
          <w:szCs w:val="24"/>
        </w:rPr>
      </w:pPr>
      <w:r>
        <w:rPr>
          <w:rFonts w:cs="Tahoma" w:asciiTheme="minorEastAsia" w:hAnsiTheme="minorEastAsia"/>
          <w:b/>
          <w:bCs/>
          <w:sz w:val="24"/>
        </w:rPr>
        <w:t>平  台：</w:t>
      </w:r>
      <w:r>
        <w:rPr>
          <w:rFonts w:cs="宋体" w:asciiTheme="minorEastAsia" w:hAnsiTheme="minorEastAsia"/>
          <w:sz w:val="24"/>
          <w:szCs w:val="24"/>
        </w:rPr>
        <w:t>钉钉</w:t>
      </w:r>
    </w:p>
    <w:p>
      <w:pPr>
        <w:pStyle w:val="2"/>
        <w:widowControl/>
        <w:spacing w:line="440" w:lineRule="exact"/>
        <w:ind w:firstLine="480" w:firstLineChars="200"/>
        <w:textAlignment w:val="baseline"/>
        <w:rPr>
          <w:rFonts w:cs="Tahoma" w:asciiTheme="minorEastAsia" w:hAnsiTheme="minorEastAsia"/>
        </w:rPr>
      </w:pPr>
    </w:p>
    <w:p>
      <w:pPr>
        <w:keepNext w:val="0"/>
        <w:keepLines w:val="0"/>
        <w:widowControl/>
        <w:suppressLineNumbers w:val="0"/>
        <w:jc w:val="center"/>
        <w:rPr>
          <w:b/>
          <w:bCs w:val="0"/>
          <w:sz w:val="24"/>
          <w:szCs w:val="32"/>
        </w:rPr>
      </w:pPr>
      <w:r>
        <w:rPr>
          <w:rStyle w:val="5"/>
          <w:rFonts w:ascii="宋体" w:hAnsi="宋体" w:eastAsia="宋体" w:cs="宋体"/>
          <w:b/>
          <w:bCs w:val="0"/>
          <w:kern w:val="0"/>
          <w:sz w:val="32"/>
          <w:szCs w:val="32"/>
          <w:lang w:val="en-US" w:eastAsia="zh-CN" w:bidi="ar"/>
        </w:rPr>
        <w:t>通识教育线上讲座注意事项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602" w:firstLineChars="200"/>
        <w:jc w:val="both"/>
        <w:textAlignment w:val="baseline"/>
        <w:rPr>
          <w:rFonts w:hint="eastAsia" w:ascii="宋体" w:hAnsi="宋体" w:eastAsia="宋体" w:cs="宋体"/>
          <w:b w:val="0"/>
          <w:i w:val="0"/>
          <w:caps w:val="0"/>
          <w:color w:val="333333"/>
          <w:spacing w:val="8"/>
          <w:sz w:val="24"/>
          <w:szCs w:val="24"/>
        </w:rPr>
      </w:pPr>
      <w:r>
        <w:rPr>
          <w:rStyle w:val="5"/>
          <w:rFonts w:hint="eastAsia" w:ascii="宋体" w:hAnsi="宋体" w:eastAsia="宋体" w:cs="宋体"/>
          <w:i w:val="0"/>
          <w:caps w:val="0"/>
          <w:color w:val="3F3F3F"/>
          <w:spacing w:val="30"/>
          <w:sz w:val="24"/>
          <w:szCs w:val="24"/>
          <w:shd w:val="clear" w:fill="FFFFFF"/>
          <w:vertAlign w:val="baseline"/>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12" w:firstLineChars="200"/>
        <w:jc w:val="both"/>
        <w:rPr>
          <w:rFonts w:hint="eastAsia" w:ascii="宋体" w:hAnsi="宋体" w:eastAsia="宋体" w:cs="宋体"/>
          <w:sz w:val="24"/>
          <w:szCs w:val="24"/>
        </w:rPr>
      </w:pPr>
      <w:r>
        <w:rPr>
          <w:rFonts w:hint="eastAsia" w:ascii="宋体" w:hAnsi="宋体" w:eastAsia="宋体" w:cs="宋体"/>
          <w:b w:val="0"/>
          <w:i w:val="0"/>
          <w:caps w:val="0"/>
          <w:color w:val="333333"/>
          <w:spacing w:val="8"/>
          <w:sz w:val="24"/>
          <w:szCs w:val="24"/>
          <w:shd w:val="clear" w:fill="FFFFFF"/>
        </w:rPr>
        <w:t>1.本次讲座形式为钉钉群线上直播。请在“到梦空间”报名成功的同学务必按报名提示扫码加入钉钉直播一群。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12" w:firstLineChars="200"/>
        <w:jc w:val="both"/>
        <w:rPr>
          <w:rFonts w:hint="eastAsia" w:ascii="宋体" w:hAnsi="宋体" w:eastAsia="宋体" w:cs="宋体"/>
          <w:sz w:val="24"/>
          <w:szCs w:val="24"/>
        </w:rPr>
      </w:pPr>
      <w:r>
        <w:rPr>
          <w:rFonts w:hint="eastAsia" w:ascii="宋体" w:hAnsi="宋体" w:eastAsia="宋体" w:cs="宋体"/>
          <w:b w:val="0"/>
          <w:i w:val="0"/>
          <w:caps w:val="0"/>
          <w:color w:val="333333"/>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12" w:firstLineChars="200"/>
        <w:jc w:val="both"/>
        <w:rPr>
          <w:rFonts w:hint="eastAsia" w:ascii="宋体" w:hAnsi="宋体" w:eastAsia="宋体" w:cs="宋体"/>
          <w:sz w:val="24"/>
          <w:szCs w:val="24"/>
        </w:rPr>
      </w:pPr>
      <w:r>
        <w:rPr>
          <w:rFonts w:hint="eastAsia" w:ascii="宋体" w:hAnsi="宋体" w:eastAsia="宋体" w:cs="宋体"/>
          <w:b w:val="0"/>
          <w:i w:val="0"/>
          <w:caps w:val="0"/>
          <w:color w:val="333333"/>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12" w:firstLineChars="200"/>
        <w:jc w:val="both"/>
        <w:rPr>
          <w:rFonts w:hint="eastAsia" w:ascii="宋体" w:hAnsi="宋体" w:eastAsia="宋体" w:cs="宋体"/>
          <w:sz w:val="24"/>
          <w:szCs w:val="24"/>
        </w:rPr>
      </w:pPr>
      <w:r>
        <w:rPr>
          <w:rFonts w:hint="eastAsia" w:ascii="宋体" w:hAnsi="宋体" w:eastAsia="宋体" w:cs="宋体"/>
          <w:b w:val="0"/>
          <w:i w:val="0"/>
          <w:caps w:val="0"/>
          <w:color w:val="333333"/>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12" w:firstLineChars="200"/>
        <w:jc w:val="both"/>
        <w:rPr>
          <w:rFonts w:hint="eastAsia" w:ascii="宋体" w:hAnsi="宋体" w:eastAsia="宋体" w:cs="宋体"/>
          <w:sz w:val="24"/>
          <w:szCs w:val="24"/>
        </w:rPr>
      </w:pPr>
      <w:r>
        <w:rPr>
          <w:rFonts w:hint="eastAsia" w:ascii="宋体" w:hAnsi="宋体" w:eastAsia="宋体" w:cs="宋体"/>
          <w:b w:val="0"/>
          <w:i w:val="0"/>
          <w:caps w:val="0"/>
          <w:color w:val="333333"/>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602" w:firstLineChars="200"/>
        <w:jc w:val="both"/>
        <w:textAlignment w:val="baseline"/>
        <w:rPr>
          <w:rFonts w:hint="eastAsia" w:ascii="宋体" w:hAnsi="宋体" w:eastAsia="宋体" w:cs="宋体"/>
          <w:b w:val="0"/>
          <w:i w:val="0"/>
          <w:caps w:val="0"/>
          <w:color w:val="333333"/>
          <w:spacing w:val="8"/>
          <w:sz w:val="24"/>
          <w:szCs w:val="24"/>
        </w:rPr>
      </w:pPr>
      <w:r>
        <w:rPr>
          <w:rStyle w:val="5"/>
          <w:rFonts w:hint="eastAsia" w:ascii="宋体" w:hAnsi="宋体" w:eastAsia="宋体" w:cs="宋体"/>
          <w:i w:val="0"/>
          <w:caps w:val="0"/>
          <w:color w:val="3F3F3F"/>
          <w:spacing w:val="30"/>
          <w:sz w:val="24"/>
          <w:szCs w:val="24"/>
          <w:shd w:val="clear" w:fill="FFFFFF"/>
          <w:vertAlign w:val="baseline"/>
        </w:rPr>
        <w:t>二、对学分没有需求的同学，如对讲座感兴趣，亦欢迎加入钉钉直播二群中观看学习（可扫码加入）：</w:t>
      </w:r>
    </w:p>
    <w:p>
      <w:pPr>
        <w:spacing w:after="240"/>
        <w:jc w:val="center"/>
      </w:pPr>
      <w:r>
        <w:rPr>
          <w:rFonts w:ascii="宋体" w:hAnsi="宋体" w:eastAsia="宋体" w:cs="宋体"/>
          <w:sz w:val="24"/>
          <w:szCs w:val="24"/>
        </w:rPr>
        <w:drawing>
          <wp:inline distT="0" distB="0" distL="114300" distR="114300">
            <wp:extent cx="4119880" cy="5015230"/>
            <wp:effectExtent l="0" t="0" r="13970" b="1397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119880" cy="5015230"/>
                    </a:xfrm>
                    <a:prstGeom prst="rect">
                      <a:avLst/>
                    </a:prstGeom>
                    <a:noFill/>
                    <a:ln w="9525">
                      <a:noFill/>
                    </a:ln>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
    <w:altName w:val="宋体"/>
    <w:panose1 w:val="02010609060101010101"/>
    <w:charset w:val="86"/>
    <w:family w:val="modern"/>
    <w:pitch w:val="default"/>
    <w:sig w:usb0="00000000" w:usb1="0000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505E61"/>
    <w:rsid w:val="07E259F4"/>
    <w:rsid w:val="0C7B69A7"/>
    <w:rsid w:val="396A7D83"/>
    <w:rsid w:val="54A52199"/>
    <w:rsid w:val="6A505E61"/>
    <w:rsid w:val="6B841B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27</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2020-04-27T12:12:00Z</dcterms:created>
  <dc:creator>lls</dc:creator>
  <cp:lastModifiedBy>教务处</cp:lastModifiedBy>
  <dcterms:modified xsi:type="dcterms:W3CDTF">2020-04-29T08:41:03Z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