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7394B0">
      <w:pPr>
        <w:spacing w:line="560" w:lineRule="exact"/>
        <w:rPr>
          <w:rFonts w:hint="eastAsia" w:ascii="仿宋_GB2312" w:hAnsi="仿宋_GB2312" w:eastAsia="仿宋_GB2312" w:cs="仿宋_GB2312"/>
          <w:sz w:val="32"/>
          <w:szCs w:val="32"/>
        </w:rPr>
      </w:pPr>
    </w:p>
    <w:p w14:paraId="67701AA3">
      <w:pPr>
        <w:spacing w:line="560" w:lineRule="exact"/>
        <w:jc w:val="center"/>
        <w:rPr>
          <w:rFonts w:hint="eastAsia" w:ascii="方正小标宋简体" w:hAnsi="方正小标宋简体" w:eastAsia="方正小标宋简体" w:cs="方正小标宋简体"/>
          <w:kern w:val="2"/>
          <w:sz w:val="36"/>
          <w:szCs w:val="36"/>
          <w:lang w:val="en-US" w:eastAsia="zh-CN" w:bidi="ar-SA"/>
        </w:rPr>
      </w:pPr>
      <w:r>
        <w:rPr>
          <w:rFonts w:hint="eastAsia" w:ascii="方正小标宋简体" w:hAnsi="方正小标宋简体" w:eastAsia="方正小标宋简体" w:cs="方正小标宋简体"/>
          <w:kern w:val="2"/>
          <w:sz w:val="36"/>
          <w:szCs w:val="36"/>
          <w:lang w:val="en-US" w:eastAsia="zh-CN" w:bidi="ar-SA"/>
        </w:rPr>
        <w:t>广西师范大学申报广西第八届大学生艺术展演活动高校美育改革创新优秀成果拟推荐名单</w:t>
      </w:r>
    </w:p>
    <w:p w14:paraId="07E64D3F">
      <w:pPr>
        <w:pStyle w:val="5"/>
        <w:ind w:left="0" w:leftChars="0" w:firstLine="0" w:firstLineChars="0"/>
      </w:pPr>
    </w:p>
    <w:tbl>
      <w:tblPr>
        <w:tblStyle w:val="3"/>
        <w:tblpPr w:leftFromText="180" w:rightFromText="180" w:vertAnchor="text" w:horzAnchor="page" w:tblpX="999" w:tblpY="266"/>
        <w:tblOverlap w:val="never"/>
        <w:tblW w:w="10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5231"/>
        <w:gridCol w:w="3160"/>
        <w:gridCol w:w="1347"/>
      </w:tblGrid>
      <w:tr w14:paraId="10E8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99" w:type="dxa"/>
            <w:tcBorders>
              <w:top w:val="single" w:color="auto" w:sz="4" w:space="0"/>
              <w:left w:val="single" w:color="auto" w:sz="4" w:space="0"/>
              <w:bottom w:val="single" w:color="auto" w:sz="4" w:space="0"/>
              <w:right w:val="single" w:color="auto" w:sz="4" w:space="0"/>
            </w:tcBorders>
            <w:vAlign w:val="center"/>
          </w:tcPr>
          <w:p w14:paraId="69695BFB">
            <w:pPr>
              <w:spacing w:line="440" w:lineRule="exact"/>
              <w:ind w:left="-107" w:leftChars="-51" w:right="-48" w:rightChars="-23" w:firstLine="1"/>
              <w:jc w:val="center"/>
              <w:rPr>
                <w:rFonts w:hint="eastAsia" w:ascii="方正小标宋简体" w:hAnsi="方正小标宋简体" w:eastAsia="方正小标宋简体" w:cs="方正小标宋简体"/>
                <w:b w:val="0"/>
                <w:bCs/>
                <w:sz w:val="28"/>
                <w:szCs w:val="28"/>
              </w:rPr>
            </w:pPr>
            <w:r>
              <w:rPr>
                <w:rFonts w:hint="eastAsia" w:ascii="方正小标宋简体" w:hAnsi="方正小标宋简体" w:eastAsia="方正小标宋简体" w:cs="方正小标宋简体"/>
                <w:b w:val="0"/>
                <w:bCs/>
                <w:sz w:val="28"/>
                <w:szCs w:val="28"/>
              </w:rPr>
              <w:t>序号</w:t>
            </w:r>
          </w:p>
        </w:tc>
        <w:tc>
          <w:tcPr>
            <w:tcW w:w="5231" w:type="dxa"/>
            <w:tcBorders>
              <w:top w:val="single" w:color="auto" w:sz="4" w:space="0"/>
              <w:left w:val="single" w:color="auto" w:sz="4" w:space="0"/>
              <w:right w:val="single" w:color="auto" w:sz="4" w:space="0"/>
            </w:tcBorders>
            <w:vAlign w:val="center"/>
          </w:tcPr>
          <w:p w14:paraId="11F0055A">
            <w:pPr>
              <w:spacing w:line="440" w:lineRule="exact"/>
              <w:jc w:val="center"/>
              <w:rPr>
                <w:rFonts w:hint="eastAsia" w:ascii="方正小标宋简体" w:hAnsi="方正小标宋简体" w:eastAsia="方正小标宋简体" w:cs="方正小标宋简体"/>
                <w:b w:val="0"/>
                <w:bCs/>
                <w:sz w:val="28"/>
                <w:szCs w:val="28"/>
                <w:lang w:val="en-US" w:eastAsia="zh-CN"/>
              </w:rPr>
            </w:pPr>
            <w:r>
              <w:rPr>
                <w:rFonts w:hint="eastAsia" w:ascii="方正小标宋简体" w:hAnsi="方正小标宋简体" w:eastAsia="方正小标宋简体" w:cs="方正小标宋简体"/>
                <w:b w:val="0"/>
                <w:bCs/>
                <w:sz w:val="28"/>
                <w:szCs w:val="28"/>
                <w:lang w:val="en-US" w:eastAsia="zh-CN"/>
              </w:rPr>
              <w:t>成果题目</w:t>
            </w:r>
          </w:p>
        </w:tc>
        <w:tc>
          <w:tcPr>
            <w:tcW w:w="3160" w:type="dxa"/>
            <w:tcBorders>
              <w:top w:val="single" w:color="auto" w:sz="4" w:space="0"/>
              <w:left w:val="single" w:color="auto" w:sz="4" w:space="0"/>
              <w:right w:val="single" w:color="auto" w:sz="4" w:space="0"/>
            </w:tcBorders>
            <w:shd w:val="clear" w:color="auto" w:fill="auto"/>
            <w:vAlign w:val="center"/>
          </w:tcPr>
          <w:p w14:paraId="21BE252E">
            <w:pPr>
              <w:spacing w:line="440" w:lineRule="exact"/>
              <w:jc w:val="center"/>
              <w:rPr>
                <w:rFonts w:hint="eastAsia" w:ascii="方正小标宋简体" w:hAnsi="方正小标宋简体" w:eastAsia="方正小标宋简体" w:cs="方正小标宋简体"/>
                <w:b w:val="0"/>
                <w:bCs/>
                <w:kern w:val="2"/>
                <w:sz w:val="28"/>
                <w:szCs w:val="28"/>
                <w:lang w:val="en-US" w:eastAsia="zh-CN" w:bidi="ar-SA"/>
              </w:rPr>
            </w:pPr>
            <w:r>
              <w:rPr>
                <w:rFonts w:hint="eastAsia" w:ascii="方正小标宋简体" w:hAnsi="方正小标宋简体" w:eastAsia="方正小标宋简体" w:cs="方正小标宋简体"/>
                <w:b w:val="0"/>
                <w:bCs/>
                <w:sz w:val="28"/>
                <w:szCs w:val="28"/>
                <w:lang w:val="en-US" w:eastAsia="zh-CN"/>
              </w:rPr>
              <w:t>选题方向</w:t>
            </w:r>
          </w:p>
        </w:tc>
        <w:tc>
          <w:tcPr>
            <w:tcW w:w="1347" w:type="dxa"/>
            <w:tcBorders>
              <w:top w:val="single" w:color="auto" w:sz="4" w:space="0"/>
              <w:left w:val="single" w:color="auto" w:sz="4" w:space="0"/>
              <w:right w:val="single" w:color="auto" w:sz="4" w:space="0"/>
            </w:tcBorders>
            <w:shd w:val="clear" w:color="auto" w:fill="auto"/>
            <w:vAlign w:val="center"/>
          </w:tcPr>
          <w:p w14:paraId="2079E015">
            <w:pPr>
              <w:spacing w:line="440" w:lineRule="exact"/>
              <w:jc w:val="center"/>
              <w:rPr>
                <w:rFonts w:hint="eastAsia" w:ascii="方正小标宋简体" w:hAnsi="方正小标宋简体" w:eastAsia="方正小标宋简体" w:cs="方正小标宋简体"/>
                <w:b w:val="0"/>
                <w:bCs/>
                <w:sz w:val="28"/>
                <w:szCs w:val="28"/>
                <w:lang w:val="en-US" w:eastAsia="zh-CN"/>
              </w:rPr>
            </w:pPr>
            <w:r>
              <w:rPr>
                <w:rFonts w:hint="eastAsia" w:ascii="方正小标宋简体" w:hAnsi="方正小标宋简体" w:eastAsia="方正小标宋简体" w:cs="方正小标宋简体"/>
                <w:b w:val="0"/>
                <w:bCs/>
                <w:sz w:val="28"/>
                <w:szCs w:val="28"/>
                <w:lang w:val="en-US" w:eastAsia="zh-CN"/>
              </w:rPr>
              <w:t>学院</w:t>
            </w:r>
          </w:p>
        </w:tc>
      </w:tr>
      <w:tr w14:paraId="3329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899" w:type="dxa"/>
            <w:tcBorders>
              <w:top w:val="single" w:color="auto" w:sz="4" w:space="0"/>
              <w:left w:val="single" w:color="auto" w:sz="4" w:space="0"/>
              <w:bottom w:val="single" w:color="auto" w:sz="4" w:space="0"/>
              <w:right w:val="single" w:color="auto" w:sz="4" w:space="0"/>
            </w:tcBorders>
            <w:vAlign w:val="center"/>
          </w:tcPr>
          <w:p w14:paraId="00FC6C55">
            <w:pPr>
              <w:spacing w:line="320" w:lineRule="exact"/>
              <w:jc w:val="center"/>
              <w:rPr>
                <w:rFonts w:hint="eastAsia" w:eastAsia="宋体"/>
                <w:b/>
                <w:bCs/>
                <w:sz w:val="28"/>
                <w:szCs w:val="28"/>
                <w:lang w:val="en-US" w:eastAsia="zh-CN"/>
              </w:rPr>
            </w:pPr>
            <w:r>
              <w:rPr>
                <w:rFonts w:hint="eastAsia"/>
                <w:b w:val="0"/>
                <w:bCs w:val="0"/>
                <w:sz w:val="28"/>
                <w:szCs w:val="28"/>
                <w:lang w:val="en-US" w:eastAsia="zh-CN"/>
              </w:rPr>
              <w:t>1</w:t>
            </w:r>
          </w:p>
        </w:tc>
        <w:tc>
          <w:tcPr>
            <w:tcW w:w="5231" w:type="dxa"/>
            <w:tcBorders>
              <w:top w:val="single" w:color="auto" w:sz="4" w:space="0"/>
              <w:left w:val="single" w:color="auto" w:sz="4" w:space="0"/>
              <w:bottom w:val="single" w:color="auto" w:sz="4" w:space="0"/>
              <w:right w:val="single" w:color="auto" w:sz="4" w:space="0"/>
            </w:tcBorders>
            <w:shd w:val="clear" w:color="auto" w:fill="auto"/>
            <w:vAlign w:val="center"/>
          </w:tcPr>
          <w:p w14:paraId="13BAD0F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cs="Times New Roman" w:asciiTheme="minorEastAsia" w:hAnsiTheme="minorEastAsia" w:eastAsiaTheme="minorEastAsia"/>
                <w:kern w:val="2"/>
                <w:sz w:val="28"/>
                <w:szCs w:val="28"/>
                <w:lang w:val="en-US" w:eastAsia="zh-CN" w:bidi="ar-SA"/>
              </w:rPr>
            </w:pPr>
            <w:r>
              <w:rPr>
                <w:rFonts w:hint="eastAsia" w:ascii="方正仿宋_GB2312" w:hAnsi="方正仿宋_GB2312" w:eastAsia="方正仿宋_GB2312" w:cs="方正仿宋_GB2312"/>
                <w:color w:val="auto"/>
                <w:kern w:val="2"/>
                <w:sz w:val="28"/>
                <w:szCs w:val="28"/>
                <w:highlight w:val="none"/>
                <w:lang w:val="en-US" w:eastAsia="zh-CN" w:bidi="ar-SA"/>
              </w:rPr>
              <w:t>以史润心，以艺育人——广西师范大学原创校史话剧《杨东莼》创演实践</w:t>
            </w:r>
          </w:p>
        </w:tc>
        <w:tc>
          <w:tcPr>
            <w:tcW w:w="3160" w:type="dxa"/>
            <w:tcBorders>
              <w:top w:val="single" w:color="auto" w:sz="4" w:space="0"/>
              <w:left w:val="single" w:color="auto" w:sz="4" w:space="0"/>
              <w:bottom w:val="single" w:color="auto" w:sz="4" w:space="0"/>
              <w:right w:val="single" w:color="auto" w:sz="4" w:space="0"/>
            </w:tcBorders>
            <w:shd w:val="clear" w:color="auto" w:fill="auto"/>
            <w:vAlign w:val="center"/>
          </w:tcPr>
          <w:p w14:paraId="65D7D4A8">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cs="Times New Roman" w:asciiTheme="minorEastAsia" w:hAnsiTheme="minorEastAsia" w:eastAsiaTheme="minorEastAsia"/>
                <w:kern w:val="2"/>
                <w:sz w:val="28"/>
                <w:szCs w:val="28"/>
                <w:lang w:val="en-US" w:eastAsia="zh-CN" w:bidi="ar-SA"/>
              </w:rPr>
            </w:pPr>
            <w:r>
              <w:rPr>
                <w:rFonts w:hint="eastAsia" w:ascii="方正仿宋_GB2312" w:hAnsi="方正仿宋_GB2312" w:eastAsia="方正仿宋_GB2312" w:cs="方正仿宋_GB2312"/>
                <w:color w:val="auto"/>
                <w:kern w:val="2"/>
                <w:sz w:val="28"/>
                <w:szCs w:val="28"/>
                <w:highlight w:val="none"/>
                <w:lang w:val="en-US" w:eastAsia="zh-CN" w:bidi="ar-SA"/>
              </w:rPr>
              <w:t>高校美育资源与社会艺术资源共建共享</w:t>
            </w: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14:paraId="1969941E">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cs="Times New Roman" w:asciiTheme="minorEastAsia" w:hAnsiTheme="minorEastAsia" w:eastAsiaTheme="minorEastAsia"/>
                <w:sz w:val="28"/>
                <w:szCs w:val="28"/>
                <w:lang w:val="en-US" w:eastAsia="zh-CN"/>
              </w:rPr>
            </w:pPr>
            <w:r>
              <w:rPr>
                <w:rFonts w:hint="eastAsia" w:ascii="方正仿宋_GB2312" w:hAnsi="方正仿宋_GB2312" w:eastAsia="方正仿宋_GB2312" w:cs="方正仿宋_GB2312"/>
                <w:color w:val="auto"/>
                <w:kern w:val="2"/>
                <w:sz w:val="28"/>
                <w:szCs w:val="28"/>
                <w:highlight w:val="none"/>
                <w:lang w:val="en-US" w:eastAsia="zh-CN" w:bidi="ar-SA"/>
              </w:rPr>
              <w:t>音乐学院</w:t>
            </w:r>
          </w:p>
        </w:tc>
      </w:tr>
      <w:tr w14:paraId="3550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899" w:type="dxa"/>
            <w:tcBorders>
              <w:top w:val="single" w:color="auto" w:sz="4" w:space="0"/>
              <w:left w:val="single" w:color="auto" w:sz="4" w:space="0"/>
              <w:bottom w:val="single" w:color="auto" w:sz="4" w:space="0"/>
              <w:right w:val="single" w:color="auto" w:sz="4" w:space="0"/>
            </w:tcBorders>
            <w:vAlign w:val="center"/>
          </w:tcPr>
          <w:p w14:paraId="4F58491B">
            <w:pPr>
              <w:spacing w:line="320" w:lineRule="exact"/>
              <w:jc w:val="center"/>
              <w:rPr>
                <w:rFonts w:hint="default"/>
                <w:b w:val="0"/>
                <w:bCs w:val="0"/>
                <w:sz w:val="28"/>
                <w:szCs w:val="28"/>
                <w:lang w:val="en-US" w:eastAsia="zh-CN"/>
              </w:rPr>
            </w:pPr>
            <w:r>
              <w:rPr>
                <w:rFonts w:hint="eastAsia"/>
                <w:b w:val="0"/>
                <w:bCs w:val="0"/>
                <w:sz w:val="28"/>
                <w:szCs w:val="28"/>
                <w:lang w:val="en-US" w:eastAsia="zh-CN"/>
              </w:rPr>
              <w:t>2</w:t>
            </w:r>
          </w:p>
        </w:tc>
        <w:tc>
          <w:tcPr>
            <w:tcW w:w="5231" w:type="dxa"/>
            <w:tcBorders>
              <w:top w:val="single" w:color="auto" w:sz="4" w:space="0"/>
              <w:left w:val="single" w:color="auto" w:sz="4" w:space="0"/>
              <w:bottom w:val="single" w:color="auto" w:sz="4" w:space="0"/>
              <w:right w:val="single" w:color="auto" w:sz="4" w:space="0"/>
            </w:tcBorders>
            <w:shd w:val="clear" w:color="auto" w:fill="auto"/>
            <w:vAlign w:val="center"/>
          </w:tcPr>
          <w:p w14:paraId="19AD7FBE">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cs="Times New Roman" w:asciiTheme="minorEastAsia" w:hAnsiTheme="minorEastAsia" w:eastAsiaTheme="minorEastAsia"/>
                <w:sz w:val="28"/>
                <w:szCs w:val="28"/>
                <w:lang w:val="en-US" w:eastAsia="zh-CN"/>
              </w:rPr>
            </w:pPr>
            <w:r>
              <w:rPr>
                <w:rFonts w:hint="eastAsia" w:ascii="方正仿宋_GB2312" w:hAnsi="方正仿宋_GB2312" w:eastAsia="方正仿宋_GB2312" w:cs="方正仿宋_GB2312"/>
                <w:b w:val="0"/>
                <w:bCs w:val="0"/>
                <w:kern w:val="2"/>
                <w:sz w:val="28"/>
                <w:szCs w:val="28"/>
                <w:highlight w:val="none"/>
                <w:lang w:val="en-US" w:eastAsia="zh-CN" w:bidi="ar-SA"/>
              </w:rPr>
              <w:t>高校美术馆“展—教—研—创”一体化美育模式建构</w:t>
            </w:r>
          </w:p>
        </w:tc>
        <w:tc>
          <w:tcPr>
            <w:tcW w:w="3160" w:type="dxa"/>
            <w:tcBorders>
              <w:top w:val="single" w:color="auto" w:sz="4" w:space="0"/>
              <w:left w:val="single" w:color="auto" w:sz="4" w:space="0"/>
              <w:bottom w:val="single" w:color="auto" w:sz="4" w:space="0"/>
              <w:right w:val="single" w:color="auto" w:sz="4" w:space="0"/>
            </w:tcBorders>
            <w:shd w:val="clear" w:color="auto" w:fill="auto"/>
            <w:vAlign w:val="center"/>
          </w:tcPr>
          <w:p w14:paraId="43E0E29D">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cs="Times New Roman" w:asciiTheme="minorEastAsia" w:hAnsiTheme="minorEastAsia" w:eastAsiaTheme="minorEastAsia"/>
                <w:sz w:val="28"/>
                <w:szCs w:val="28"/>
                <w:lang w:val="en-US" w:eastAsia="zh-CN"/>
              </w:rPr>
            </w:pPr>
            <w:r>
              <w:rPr>
                <w:rFonts w:hint="eastAsia" w:ascii="方正仿宋_GB2312" w:hAnsi="方正仿宋_GB2312" w:eastAsia="方正仿宋_GB2312" w:cs="方正仿宋_GB2312"/>
                <w:b w:val="0"/>
                <w:bCs w:val="0"/>
                <w:kern w:val="2"/>
                <w:sz w:val="28"/>
                <w:szCs w:val="28"/>
                <w:highlight w:val="none"/>
                <w:lang w:val="en-US" w:eastAsia="zh-CN" w:bidi="ar-SA"/>
              </w:rPr>
              <w:t>艺术展演育人实践</w:t>
            </w: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14:paraId="4614ADBE">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cs="Times New Roman" w:asciiTheme="minorEastAsia" w:hAnsiTheme="minorEastAsia" w:eastAsiaTheme="minorEastAsia"/>
                <w:sz w:val="28"/>
                <w:szCs w:val="28"/>
                <w:lang w:val="en-US" w:eastAsia="zh-CN"/>
              </w:rPr>
            </w:pPr>
            <w:r>
              <w:rPr>
                <w:rFonts w:hint="eastAsia" w:ascii="方正仿宋_GB2312" w:hAnsi="方正仿宋_GB2312" w:eastAsia="方正仿宋_GB2312" w:cs="方正仿宋_GB2312"/>
                <w:color w:val="auto"/>
                <w:kern w:val="2"/>
                <w:sz w:val="28"/>
                <w:szCs w:val="28"/>
                <w:highlight w:val="none"/>
                <w:lang w:val="en-US" w:eastAsia="zh-CN" w:bidi="ar-SA"/>
              </w:rPr>
              <w:t>美术学院</w:t>
            </w:r>
          </w:p>
        </w:tc>
      </w:tr>
      <w:tr w14:paraId="338D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899" w:type="dxa"/>
            <w:tcBorders>
              <w:top w:val="single" w:color="auto" w:sz="4" w:space="0"/>
              <w:left w:val="single" w:color="auto" w:sz="4" w:space="0"/>
              <w:bottom w:val="single" w:color="auto" w:sz="4" w:space="0"/>
              <w:right w:val="single" w:color="auto" w:sz="4" w:space="0"/>
            </w:tcBorders>
            <w:vAlign w:val="center"/>
          </w:tcPr>
          <w:p w14:paraId="37771D82">
            <w:pPr>
              <w:spacing w:line="320" w:lineRule="exact"/>
              <w:jc w:val="center"/>
              <w:rPr>
                <w:rFonts w:hint="default"/>
                <w:b w:val="0"/>
                <w:bCs w:val="0"/>
                <w:sz w:val="28"/>
                <w:szCs w:val="28"/>
                <w:lang w:val="en-US" w:eastAsia="zh-CN"/>
              </w:rPr>
            </w:pPr>
            <w:r>
              <w:rPr>
                <w:rFonts w:hint="eastAsia"/>
                <w:b w:val="0"/>
                <w:bCs w:val="0"/>
                <w:sz w:val="28"/>
                <w:szCs w:val="28"/>
                <w:lang w:val="en-US" w:eastAsia="zh-CN"/>
              </w:rPr>
              <w:t>3</w:t>
            </w:r>
          </w:p>
        </w:tc>
        <w:tc>
          <w:tcPr>
            <w:tcW w:w="5231" w:type="dxa"/>
            <w:tcBorders>
              <w:top w:val="single" w:color="auto" w:sz="4" w:space="0"/>
              <w:left w:val="single" w:color="auto" w:sz="4" w:space="0"/>
              <w:bottom w:val="single" w:color="auto" w:sz="4" w:space="0"/>
              <w:right w:val="single" w:color="auto" w:sz="4" w:space="0"/>
            </w:tcBorders>
            <w:shd w:val="clear" w:color="auto" w:fill="auto"/>
            <w:vAlign w:val="center"/>
          </w:tcPr>
          <w:p w14:paraId="2CB2D4B7">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cs="Times New Roman" w:asciiTheme="minorEastAsia" w:hAnsiTheme="minorEastAsia" w:eastAsiaTheme="minorEastAsia"/>
                <w:sz w:val="28"/>
                <w:szCs w:val="28"/>
                <w:lang w:val="en-US" w:eastAsia="zh-CN"/>
              </w:rPr>
            </w:pPr>
            <w:r>
              <w:rPr>
                <w:rFonts w:hint="eastAsia" w:ascii="方正仿宋_GB2312" w:hAnsi="方正仿宋_GB2312" w:eastAsia="方正仿宋_GB2312" w:cs="方正仿宋_GB2312"/>
                <w:b w:val="0"/>
                <w:bCs w:val="0"/>
                <w:kern w:val="2"/>
                <w:sz w:val="28"/>
                <w:szCs w:val="28"/>
                <w:highlight w:val="none"/>
                <w:lang w:val="en-US" w:eastAsia="zh-CN" w:bidi="ar-SA"/>
              </w:rPr>
              <w:t>“科技赋能美育，山水铸魂思政”——《美术欣赏与艺术人生》课程教学改革案例</w:t>
            </w:r>
          </w:p>
        </w:tc>
        <w:tc>
          <w:tcPr>
            <w:tcW w:w="3160" w:type="dxa"/>
            <w:tcBorders>
              <w:top w:val="single" w:color="auto" w:sz="4" w:space="0"/>
              <w:left w:val="single" w:color="auto" w:sz="4" w:space="0"/>
              <w:bottom w:val="single" w:color="auto" w:sz="4" w:space="0"/>
              <w:right w:val="single" w:color="auto" w:sz="4" w:space="0"/>
            </w:tcBorders>
            <w:shd w:val="clear" w:color="auto" w:fill="auto"/>
            <w:vAlign w:val="center"/>
          </w:tcPr>
          <w:p w14:paraId="7262AF8F">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cs="Times New Roman" w:asciiTheme="minorEastAsia" w:hAnsiTheme="minorEastAsia" w:eastAsiaTheme="minorEastAsia"/>
                <w:sz w:val="28"/>
                <w:szCs w:val="28"/>
                <w:lang w:val="en-US" w:eastAsia="zh-CN"/>
              </w:rPr>
            </w:pPr>
            <w:r>
              <w:rPr>
                <w:rFonts w:hint="eastAsia" w:ascii="方正仿宋_GB2312" w:hAnsi="方正仿宋_GB2312" w:eastAsia="方正仿宋_GB2312" w:cs="方正仿宋_GB2312"/>
                <w:b w:val="0"/>
                <w:bCs w:val="0"/>
                <w:kern w:val="2"/>
                <w:sz w:val="28"/>
                <w:szCs w:val="28"/>
                <w:highlight w:val="none"/>
                <w:lang w:val="en-US" w:eastAsia="zh-CN" w:bidi="ar-SA"/>
              </w:rPr>
              <w:t>高校公共艺术教育教学体系建设</w:t>
            </w: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14:paraId="0394AC01">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cs="Times New Roman" w:asciiTheme="minorEastAsia" w:hAnsiTheme="minorEastAsia" w:eastAsiaTheme="minorEastAsia"/>
                <w:sz w:val="28"/>
                <w:szCs w:val="28"/>
                <w:lang w:val="en-US" w:eastAsia="zh-CN"/>
              </w:rPr>
            </w:pPr>
            <w:r>
              <w:rPr>
                <w:rFonts w:hint="eastAsia" w:ascii="方正仿宋_GB2312" w:hAnsi="方正仿宋_GB2312" w:eastAsia="方正仿宋_GB2312" w:cs="方正仿宋_GB2312"/>
                <w:color w:val="auto"/>
                <w:kern w:val="2"/>
                <w:sz w:val="28"/>
                <w:szCs w:val="28"/>
                <w:highlight w:val="none"/>
                <w:lang w:val="en-US" w:eastAsia="zh-CN" w:bidi="ar-SA"/>
              </w:rPr>
              <w:t>美术学院</w:t>
            </w:r>
          </w:p>
        </w:tc>
      </w:tr>
      <w:tr w14:paraId="4801C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899" w:type="dxa"/>
            <w:tcBorders>
              <w:top w:val="single" w:color="auto" w:sz="4" w:space="0"/>
              <w:left w:val="single" w:color="auto" w:sz="4" w:space="0"/>
              <w:bottom w:val="single" w:color="auto" w:sz="4" w:space="0"/>
              <w:right w:val="single" w:color="auto" w:sz="4" w:space="0"/>
            </w:tcBorders>
            <w:vAlign w:val="center"/>
          </w:tcPr>
          <w:p w14:paraId="0D5C434F">
            <w:pPr>
              <w:spacing w:line="320" w:lineRule="exact"/>
              <w:jc w:val="center"/>
              <w:rPr>
                <w:rFonts w:hint="default"/>
                <w:b w:val="0"/>
                <w:bCs w:val="0"/>
                <w:sz w:val="28"/>
                <w:szCs w:val="28"/>
                <w:lang w:val="en-US" w:eastAsia="zh-CN"/>
              </w:rPr>
            </w:pPr>
            <w:r>
              <w:rPr>
                <w:rFonts w:hint="eastAsia"/>
                <w:b w:val="0"/>
                <w:bCs w:val="0"/>
                <w:sz w:val="28"/>
                <w:szCs w:val="28"/>
                <w:lang w:val="en-US" w:eastAsia="zh-CN"/>
              </w:rPr>
              <w:t>4</w:t>
            </w:r>
          </w:p>
        </w:tc>
        <w:tc>
          <w:tcPr>
            <w:tcW w:w="5231" w:type="dxa"/>
            <w:tcBorders>
              <w:top w:val="single" w:color="auto" w:sz="4" w:space="0"/>
              <w:left w:val="single" w:color="auto" w:sz="4" w:space="0"/>
              <w:bottom w:val="single" w:color="auto" w:sz="4" w:space="0"/>
              <w:right w:val="single" w:color="auto" w:sz="4" w:space="0"/>
            </w:tcBorders>
            <w:shd w:val="clear" w:color="auto" w:fill="auto"/>
            <w:vAlign w:val="center"/>
          </w:tcPr>
          <w:p w14:paraId="1D4551FA">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cs="Times New Roman" w:asciiTheme="minorEastAsia" w:hAnsiTheme="minorEastAsia" w:eastAsiaTheme="minorEastAsia"/>
                <w:sz w:val="28"/>
                <w:szCs w:val="28"/>
                <w:lang w:val="en-US" w:eastAsia="zh-CN"/>
              </w:rPr>
            </w:pPr>
            <w:r>
              <w:rPr>
                <w:rFonts w:hint="eastAsia" w:ascii="方正仿宋_GB2312" w:hAnsi="方正仿宋_GB2312" w:eastAsia="方正仿宋_GB2312" w:cs="方正仿宋_GB2312"/>
                <w:color w:val="auto"/>
                <w:sz w:val="28"/>
                <w:szCs w:val="28"/>
                <w:highlight w:val="none"/>
              </w:rPr>
              <w:t>文艺出海·美育共生</w:t>
            </w:r>
            <w:r>
              <w:rPr>
                <w:rFonts w:hint="eastAsia" w:ascii="方正仿宋_GB2312" w:hAnsi="方正仿宋_GB2312" w:eastAsia="方正仿宋_GB2312" w:cs="方正仿宋_GB2312"/>
                <w:color w:val="auto"/>
                <w:sz w:val="28"/>
                <w:szCs w:val="28"/>
                <w:highlight w:val="none"/>
                <w:lang w:val="en-US" w:eastAsia="zh-CN"/>
              </w:rPr>
              <w:t>——</w:t>
            </w:r>
            <w:r>
              <w:rPr>
                <w:rFonts w:hint="eastAsia" w:ascii="方正仿宋_GB2312" w:hAnsi="方正仿宋_GB2312" w:eastAsia="方正仿宋_GB2312" w:cs="方正仿宋_GB2312"/>
                <w:color w:val="auto"/>
                <w:sz w:val="28"/>
                <w:szCs w:val="28"/>
                <w:highlight w:val="none"/>
              </w:rPr>
              <w:t>广西师范大学面向东盟的民族艺术协同育人实践</w:t>
            </w:r>
          </w:p>
        </w:tc>
        <w:tc>
          <w:tcPr>
            <w:tcW w:w="3160" w:type="dxa"/>
            <w:tcBorders>
              <w:top w:val="single" w:color="auto" w:sz="4" w:space="0"/>
              <w:left w:val="single" w:color="auto" w:sz="4" w:space="0"/>
              <w:bottom w:val="single" w:color="auto" w:sz="4" w:space="0"/>
              <w:right w:val="single" w:color="auto" w:sz="4" w:space="0"/>
            </w:tcBorders>
            <w:shd w:val="clear" w:color="auto" w:fill="auto"/>
            <w:vAlign w:val="center"/>
          </w:tcPr>
          <w:p w14:paraId="2C7FBC58">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cs="Times New Roman" w:asciiTheme="minorEastAsia" w:hAnsiTheme="minorEastAsia" w:eastAsiaTheme="minorEastAsia"/>
                <w:sz w:val="28"/>
                <w:szCs w:val="28"/>
                <w:lang w:val="en-US" w:eastAsia="zh-CN"/>
              </w:rPr>
            </w:pPr>
            <w:r>
              <w:rPr>
                <w:rFonts w:hint="eastAsia" w:ascii="方正仿宋_GB2312" w:hAnsi="方正仿宋_GB2312" w:eastAsia="方正仿宋_GB2312" w:cs="方正仿宋_GB2312"/>
                <w:color w:val="auto"/>
                <w:sz w:val="28"/>
                <w:szCs w:val="28"/>
                <w:highlight w:val="none"/>
                <w:lang w:val="en-US" w:eastAsia="zh-CN"/>
              </w:rPr>
              <w:t>高校美育资源与社会艺术资源共建共享</w:t>
            </w:r>
            <w:bookmarkStart w:id="0" w:name="_GoBack"/>
            <w:bookmarkEnd w:id="0"/>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14:paraId="3CA2E294">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cs="Times New Roman" w:asciiTheme="minorEastAsia" w:hAnsiTheme="minorEastAsia" w:eastAsiaTheme="minorEastAsia"/>
                <w:sz w:val="28"/>
                <w:szCs w:val="28"/>
                <w:lang w:val="en-US" w:eastAsia="zh-CN"/>
              </w:rPr>
            </w:pPr>
            <w:r>
              <w:rPr>
                <w:rFonts w:hint="eastAsia" w:ascii="方正仿宋_GB2312" w:hAnsi="方正仿宋_GB2312" w:eastAsia="方正仿宋_GB2312" w:cs="方正仿宋_GB2312"/>
                <w:color w:val="auto"/>
                <w:kern w:val="2"/>
                <w:sz w:val="28"/>
                <w:szCs w:val="28"/>
                <w:highlight w:val="none"/>
                <w:lang w:val="en-US" w:eastAsia="zh-CN" w:bidi="ar-SA"/>
              </w:rPr>
              <w:t>音乐学院</w:t>
            </w:r>
          </w:p>
        </w:tc>
      </w:tr>
      <w:tr w14:paraId="15C9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899" w:type="dxa"/>
            <w:tcBorders>
              <w:top w:val="single" w:color="auto" w:sz="4" w:space="0"/>
              <w:left w:val="single" w:color="auto" w:sz="4" w:space="0"/>
              <w:bottom w:val="single" w:color="auto" w:sz="4" w:space="0"/>
              <w:right w:val="single" w:color="auto" w:sz="4" w:space="0"/>
            </w:tcBorders>
            <w:vAlign w:val="center"/>
          </w:tcPr>
          <w:p w14:paraId="2DA35D07">
            <w:pPr>
              <w:spacing w:line="320" w:lineRule="exact"/>
              <w:jc w:val="center"/>
              <w:rPr>
                <w:rFonts w:hint="default"/>
                <w:b w:val="0"/>
                <w:bCs w:val="0"/>
                <w:sz w:val="28"/>
                <w:szCs w:val="28"/>
                <w:lang w:val="en-US" w:eastAsia="zh-CN"/>
              </w:rPr>
            </w:pPr>
            <w:r>
              <w:rPr>
                <w:rFonts w:hint="eastAsia"/>
                <w:b w:val="0"/>
                <w:bCs w:val="0"/>
                <w:sz w:val="28"/>
                <w:szCs w:val="28"/>
                <w:lang w:val="en-US" w:eastAsia="zh-CN"/>
              </w:rPr>
              <w:t>5</w:t>
            </w:r>
          </w:p>
        </w:tc>
        <w:tc>
          <w:tcPr>
            <w:tcW w:w="5231" w:type="dxa"/>
            <w:tcBorders>
              <w:top w:val="single" w:color="auto" w:sz="4" w:space="0"/>
              <w:left w:val="single" w:color="auto" w:sz="4" w:space="0"/>
              <w:bottom w:val="single" w:color="auto" w:sz="4" w:space="0"/>
              <w:right w:val="single" w:color="auto" w:sz="4" w:space="0"/>
            </w:tcBorders>
            <w:shd w:val="clear" w:color="auto" w:fill="auto"/>
            <w:vAlign w:val="center"/>
          </w:tcPr>
          <w:p w14:paraId="325889B0">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cs="Times New Roman" w:asciiTheme="minorEastAsia" w:hAnsiTheme="minorEastAsia" w:eastAsiaTheme="minorEastAsia"/>
                <w:sz w:val="28"/>
                <w:szCs w:val="28"/>
                <w:lang w:val="en-US" w:eastAsia="zh-CN"/>
              </w:rPr>
            </w:pPr>
            <w:r>
              <w:rPr>
                <w:rFonts w:hint="eastAsia" w:ascii="方正仿宋_GB2312" w:hAnsi="方正仿宋_GB2312" w:eastAsia="方正仿宋_GB2312" w:cs="方正仿宋_GB2312"/>
                <w:color w:val="auto"/>
                <w:sz w:val="28"/>
                <w:szCs w:val="28"/>
                <w:highlight w:val="none"/>
              </w:rPr>
              <w:t>“五育并举”视域下高校美育育人模式创新研究——基于“四维互嵌”模式的理论建构与实践考察</w:t>
            </w:r>
          </w:p>
        </w:tc>
        <w:tc>
          <w:tcPr>
            <w:tcW w:w="3160" w:type="dxa"/>
            <w:tcBorders>
              <w:top w:val="single" w:color="auto" w:sz="4" w:space="0"/>
              <w:left w:val="single" w:color="auto" w:sz="4" w:space="0"/>
              <w:bottom w:val="single" w:color="auto" w:sz="4" w:space="0"/>
              <w:right w:val="single" w:color="auto" w:sz="4" w:space="0"/>
            </w:tcBorders>
            <w:shd w:val="clear" w:color="auto" w:fill="auto"/>
            <w:vAlign w:val="center"/>
          </w:tcPr>
          <w:p w14:paraId="43B099B8">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cs="Times New Roman" w:asciiTheme="minorEastAsia" w:hAnsiTheme="minorEastAsia" w:eastAsiaTheme="minorEastAsia"/>
                <w:sz w:val="28"/>
                <w:szCs w:val="28"/>
                <w:lang w:val="en-US" w:eastAsia="zh-CN"/>
              </w:rPr>
            </w:pPr>
            <w:r>
              <w:rPr>
                <w:rFonts w:hint="eastAsia" w:ascii="方正仿宋_GB2312" w:hAnsi="方正仿宋_GB2312" w:eastAsia="方正仿宋_GB2312" w:cs="方正仿宋_GB2312"/>
                <w:color w:val="auto"/>
                <w:sz w:val="28"/>
                <w:szCs w:val="28"/>
                <w:highlight w:val="none"/>
                <w:lang w:val="en-US" w:eastAsia="zh-CN"/>
              </w:rPr>
              <w:t>“五育并举”视域下高校美育育人模式创新</w:t>
            </w: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14:paraId="6E9124C2">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cs="Times New Roman" w:asciiTheme="minorEastAsia" w:hAnsiTheme="minorEastAsia" w:eastAsiaTheme="minorEastAsia"/>
                <w:sz w:val="28"/>
                <w:szCs w:val="28"/>
                <w:lang w:val="en-US" w:eastAsia="zh-CN"/>
              </w:rPr>
            </w:pPr>
            <w:r>
              <w:rPr>
                <w:rFonts w:hint="eastAsia" w:ascii="方正仿宋_GB2312" w:hAnsi="方正仿宋_GB2312" w:eastAsia="方正仿宋_GB2312" w:cs="方正仿宋_GB2312"/>
                <w:color w:val="auto"/>
                <w:kern w:val="2"/>
                <w:sz w:val="28"/>
                <w:szCs w:val="28"/>
                <w:highlight w:val="none"/>
                <w:lang w:val="en-US" w:eastAsia="zh-CN" w:bidi="ar-SA"/>
              </w:rPr>
              <w:t>音乐学院</w:t>
            </w:r>
          </w:p>
        </w:tc>
      </w:tr>
    </w:tbl>
    <w:p w14:paraId="45C109FE">
      <w:pPr>
        <w:pStyle w:val="5"/>
        <w:ind w:firstLine="0" w:firstLineChars="0"/>
      </w:pPr>
    </w:p>
    <w:p w14:paraId="0171D8C5">
      <w:pPr>
        <w:pStyle w:val="5"/>
        <w:ind w:firstLine="0" w:firstLineChars="0"/>
      </w:pPr>
    </w:p>
    <w:p w14:paraId="5F672426">
      <w:pPr>
        <w:pStyle w:val="5"/>
      </w:pPr>
    </w:p>
    <w:p w14:paraId="5191C76E">
      <w:pPr>
        <w:pStyle w:val="5"/>
      </w:pPr>
    </w:p>
    <w:p w14:paraId="7B9E4528">
      <w:pPr>
        <w:pStyle w:val="5"/>
      </w:pPr>
    </w:p>
    <w:p w14:paraId="0216EFC2">
      <w:pPr>
        <w:pStyle w:val="5"/>
        <w:ind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2DCE55A-4E16-427F-8FE3-7F1CA2D2391A}"/>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2" w:fontKey="{87FF1191-CD45-4C79-9C0F-7F2EEE6AC4B6}"/>
  </w:font>
  <w:font w:name="方正仿宋_GB2312">
    <w:panose1 w:val="02000000000000000000"/>
    <w:charset w:val="86"/>
    <w:family w:val="auto"/>
    <w:pitch w:val="default"/>
    <w:sig w:usb0="A00002BF" w:usb1="184F6CFA" w:usb2="00000012" w:usb3="00000000" w:csb0="00040001" w:csb1="00000000"/>
    <w:embedRegular r:id="rId3" w:fontKey="{9EA2C54C-5CC7-4D67-9DE2-DFC56D01DAC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3862C4"/>
    <w:rsid w:val="3F5B25DD"/>
    <w:rsid w:val="5883256B"/>
    <w:rsid w:val="6B3862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 w:type="paragraph" w:customStyle="1" w:styleId="5">
    <w:name w:val="正文缩进1"/>
    <w:basedOn w:val="1"/>
    <w:qFormat/>
    <w:uiPriority w:val="99"/>
    <w:pPr>
      <w:ind w:firstLine="420" w:firstLineChars="200"/>
    </w:pPr>
  </w:style>
  <w:style w:type="paragraph" w:customStyle="1" w:styleId="6">
    <w:name w:val="Table Paragraph"/>
    <w:basedOn w:val="1"/>
    <w:qFormat/>
    <w:uiPriority w:val="1"/>
  </w:style>
  <w:style w:type="table" w:customStyle="1" w:styleId="7">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319</Words>
  <Characters>319</Characters>
  <Lines>0</Lines>
  <Paragraphs>0</Paragraphs>
  <TotalTime>5</TotalTime>
  <ScaleCrop>false</ScaleCrop>
  <LinksUpToDate>false</LinksUpToDate>
  <CharactersWithSpaces>319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2026-09-07T02:38:00Z</dcterms:created>
  <dc:creator>呼呀呼呀</dc:creator>
  <cp:lastModifiedBy>王海艳</cp:lastModifiedBy>
  <dcterms:modified xsi:type="dcterms:W3CDTF">2026-09-07T03:26:34Z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2E112F9EBD024C0AA46C8FA6A1269940_11</vt:lpwstr>
  </property>
  <property fmtid="{D5CDD505-2E9C-101B-9397-08002B2CF9AE}" pid="4" name="KSOTemplateDocerSaveRecord">
    <vt:lpwstr>eyJoZGlkIjoiNWY2NTQ3YTA0ZWYyZDg4ZWI2MDFlODdkOTQzODM3ZjEiLCJ1c2VySWQiOiIzNjI4Nzk1NzcifQ==</vt:lpwstr>
  </property>
</Properties>
</file>