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theme="minorBidi"/>
          <w:snapToGrid w:val="0"/>
          <w:sz w:val="32"/>
          <w:szCs w:val="32"/>
          <w:lang w:eastAsia="zh-CN"/>
        </w:rPr>
      </w:pPr>
      <w:r>
        <w:rPr>
          <w:rFonts w:hint="eastAsia" w:ascii="黑体" w:hAnsi="黑体" w:eastAsia="黑体" w:cstheme="minorBidi"/>
          <w:snapToGrid w:val="0"/>
          <w:sz w:val="32"/>
          <w:szCs w:val="32"/>
        </w:rPr>
        <w:t>附件</w:t>
      </w:r>
      <w:r>
        <w:rPr>
          <w:rFonts w:hint="eastAsia" w:ascii="黑体" w:hAnsi="黑体" w:eastAsia="黑体" w:cstheme="minorBidi"/>
          <w:snapToGrid w:val="0"/>
          <w:sz w:val="32"/>
          <w:szCs w:val="32"/>
          <w:lang w:val="en-US" w:eastAsia="zh-CN"/>
        </w:rPr>
        <w:t>3</w:t>
      </w:r>
    </w:p>
    <w:p>
      <w:pPr>
        <w:spacing w:line="500" w:lineRule="exact"/>
        <w:rPr>
          <w:rFonts w:hint="eastAsia" w:ascii="黑体" w:hAnsi="黑体" w:eastAsia="黑体"/>
          <w:snapToGrid w:val="0"/>
          <w:sz w:val="32"/>
          <w:szCs w:val="32"/>
        </w:rPr>
      </w:pPr>
      <w:bookmarkStart w:id="145" w:name="_GoBack"/>
      <w:bookmarkEnd w:id="145"/>
    </w:p>
    <w:p>
      <w:pPr>
        <w:autoSpaceDE w:val="0"/>
        <w:autoSpaceDN w:val="0"/>
        <w:spacing w:before="27"/>
        <w:ind w:left="1042" w:right="1167"/>
        <w:jc w:val="center"/>
        <w:rPr>
          <w:rFonts w:hint="eastAsia" w:ascii="方正小标宋简体" w:hAnsi="方正小标宋简体" w:eastAsia="方正小标宋简体" w:cs="方正小标宋简体"/>
          <w:kern w:val="0"/>
          <w:sz w:val="44"/>
          <w:szCs w:val="44"/>
          <w:lang w:val="zh-CN" w:bidi="zh-CN"/>
        </w:rPr>
      </w:pPr>
      <w:r>
        <w:rPr>
          <w:rFonts w:hint="eastAsia" w:ascii="方正小标宋简体" w:hAnsi="方正小标宋简体" w:eastAsia="方正小标宋简体" w:cs="方正小标宋简体"/>
          <w:kern w:val="0"/>
          <w:sz w:val="44"/>
          <w:szCs w:val="44"/>
          <w:lang w:val="zh-CN" w:bidi="zh-CN"/>
        </w:rPr>
        <w:t>普通高等学校本科专业设置申请表</w:t>
      </w:r>
    </w:p>
    <w:p>
      <w:pPr>
        <w:autoSpaceDE w:val="0"/>
        <w:autoSpaceDN w:val="0"/>
        <w:spacing w:line="660" w:lineRule="exact"/>
        <w:jc w:val="center"/>
        <w:rPr>
          <w:rFonts w:hint="eastAsia" w:ascii="楷体" w:hAnsi="楷体" w:eastAsia="楷体" w:cs="楷体"/>
          <w:kern w:val="0"/>
          <w:sz w:val="32"/>
          <w:szCs w:val="36"/>
          <w:lang w:val="zh-CN" w:bidi="zh-CN"/>
        </w:rPr>
      </w:pPr>
      <w:r>
        <w:rPr>
          <w:rFonts w:hint="eastAsia" w:ascii="楷体" w:hAnsi="楷体" w:eastAsia="楷体" w:cs="楷体"/>
          <w:kern w:val="0"/>
          <w:sz w:val="32"/>
          <w:szCs w:val="36"/>
          <w:lang w:val="zh-CN" w:bidi="zh-CN"/>
        </w:rPr>
        <w:t>（</w:t>
      </w:r>
      <w:r>
        <w:rPr>
          <w:rFonts w:hint="eastAsia" w:ascii="Times New Roman" w:hAnsi="Times New Roman" w:eastAsia="楷体" w:cs="楷体"/>
          <w:kern w:val="0"/>
          <w:sz w:val="32"/>
          <w:szCs w:val="36"/>
          <w:lang w:val="zh-CN" w:bidi="zh-CN"/>
        </w:rPr>
        <w:t>2019</w:t>
      </w:r>
      <w:r>
        <w:rPr>
          <w:rFonts w:hint="eastAsia" w:ascii="楷体" w:hAnsi="楷体" w:eastAsia="楷体" w:cs="楷体"/>
          <w:kern w:val="0"/>
          <w:sz w:val="32"/>
          <w:szCs w:val="36"/>
          <w:lang w:val="zh-CN" w:bidi="zh-CN"/>
        </w:rPr>
        <w:t>年修订）</w:t>
      </w:r>
    </w:p>
    <w:p>
      <w:pPr>
        <w:autoSpaceDE w:val="0"/>
        <w:autoSpaceDN w:val="0"/>
        <w:spacing w:line="560" w:lineRule="exact"/>
        <w:ind w:firstLine="1080" w:firstLineChars="300"/>
        <w:rPr>
          <w:rFonts w:hint="eastAsia" w:ascii="仿宋" w:hAnsi="仿宋" w:eastAsia="仿宋"/>
          <w:kern w:val="0"/>
          <w:sz w:val="36"/>
          <w:szCs w:val="22"/>
          <w:lang w:val="zh-CN" w:bidi="zh-CN"/>
        </w:rPr>
      </w:pPr>
    </w:p>
    <w:p>
      <w:pPr>
        <w:autoSpaceDE w:val="0"/>
        <w:autoSpaceDN w:val="0"/>
        <w:spacing w:line="560" w:lineRule="exact"/>
        <w:ind w:firstLine="750" w:firstLineChars="300"/>
        <w:rPr>
          <w:rFonts w:hint="eastAsia" w:ascii="仿宋" w:hAnsi="仿宋" w:eastAsia="仿宋"/>
          <w:kern w:val="0"/>
          <w:sz w:val="25"/>
          <w:szCs w:val="22"/>
          <w:lang w:val="zh-CN" w:bidi="zh-CN"/>
        </w:rPr>
      </w:pPr>
    </w:p>
    <w:p>
      <w:pPr>
        <w:autoSpaceDE w:val="0"/>
        <w:autoSpaceDN w:val="0"/>
        <w:spacing w:line="560" w:lineRule="exact"/>
        <w:ind w:firstLine="960" w:firstLineChars="300"/>
        <w:rPr>
          <w:rFonts w:hint="eastAsia" w:ascii="仿宋" w:hAnsi="仿宋" w:eastAsia="仿宋" w:cs="黑体"/>
          <w:color w:val="000000" w:themeColor="text1"/>
          <w:kern w:val="0"/>
          <w:sz w:val="32"/>
          <w:szCs w:val="36"/>
          <w:lang w:val="zh-CN" w:bidi="zh-CN"/>
          <w14:textFill>
            <w14:solidFill>
              <w14:schemeClr w14:val="tx1"/>
            </w14:solidFill>
          </w14:textFill>
        </w:rPr>
      </w:pPr>
      <w:r>
        <w:rPr>
          <w:rFonts w:hint="eastAsia" w:ascii="仿宋" w:hAnsi="仿宋" w:eastAsia="仿宋" w:cs="黑体"/>
          <w:color w:val="000000" w:themeColor="text1"/>
          <w:kern w:val="0"/>
          <w:sz w:val="32"/>
          <w:szCs w:val="36"/>
          <w:lang w:val="zh-CN" w:bidi="zh-CN"/>
          <w14:textFill>
            <w14:solidFill>
              <w14:schemeClr w14:val="tx1"/>
            </w14:solidFill>
          </w14:textFill>
        </w:rPr>
        <w:t>校长签字：</w:t>
      </w:r>
    </w:p>
    <w:p>
      <w:pPr>
        <w:autoSpaceDE w:val="0"/>
        <w:autoSpaceDN w:val="0"/>
        <w:spacing w:line="560" w:lineRule="exact"/>
        <w:ind w:firstLine="960" w:firstLineChars="300"/>
        <w:rPr>
          <w:rFonts w:hint="eastAsia" w:ascii="仿宋" w:hAnsi="仿宋" w:eastAsia="仿宋" w:cs="黑体"/>
          <w:color w:val="000000" w:themeColor="text1"/>
          <w:kern w:val="0"/>
          <w:sz w:val="32"/>
          <w:szCs w:val="36"/>
          <w:lang w:val="zh-CN" w:bidi="zh-CN"/>
          <w14:textFill>
            <w14:solidFill>
              <w14:schemeClr w14:val="tx1"/>
            </w14:solidFill>
          </w14:textFill>
        </w:rPr>
      </w:pPr>
      <w:r>
        <w:rPr>
          <w:rFonts w:hint="eastAsia" w:ascii="仿宋" w:hAnsi="仿宋" w:eastAsia="仿宋" w:cs="黑体"/>
          <w:color w:val="000000" w:themeColor="text1"/>
          <w:kern w:val="0"/>
          <w:sz w:val="32"/>
          <w:szCs w:val="36"/>
          <w:lang w:val="zh-CN" w:bidi="zh-CN"/>
          <w14:textFill>
            <w14:solidFill>
              <w14:schemeClr w14:val="tx1"/>
            </w14:solidFill>
          </w14:textFill>
        </w:rPr>
        <w:t>学校名称（盖章）：广西师范大学</w:t>
      </w:r>
    </w:p>
    <w:p>
      <w:pPr>
        <w:autoSpaceDE w:val="0"/>
        <w:autoSpaceDN w:val="0"/>
        <w:spacing w:line="560" w:lineRule="exact"/>
        <w:ind w:firstLine="960" w:firstLineChars="300"/>
        <w:rPr>
          <w:rFonts w:hint="eastAsia" w:ascii="仿宋" w:hAnsi="仿宋" w:eastAsia="仿宋" w:cs="黑体"/>
          <w:color w:val="000000" w:themeColor="text1"/>
          <w:spacing w:val="-9"/>
          <w:kern w:val="0"/>
          <w:sz w:val="32"/>
          <w:szCs w:val="36"/>
          <w:lang w:val="zh-CN" w:bidi="zh-CN"/>
          <w14:textFill>
            <w14:solidFill>
              <w14:schemeClr w14:val="tx1"/>
            </w14:solidFill>
          </w14:textFill>
        </w:rPr>
      </w:pPr>
      <w:r>
        <w:rPr>
          <w:rFonts w:hint="eastAsia" w:ascii="仿宋" w:hAnsi="仿宋" w:eastAsia="仿宋" w:cs="黑体"/>
          <w:color w:val="000000" w:themeColor="text1"/>
          <w:kern w:val="0"/>
          <w:sz w:val="32"/>
          <w:szCs w:val="36"/>
          <w:lang w:val="zh-CN" w:bidi="zh-CN"/>
          <w14:textFill>
            <w14:solidFill>
              <w14:schemeClr w14:val="tx1"/>
            </w14:solidFill>
          </w14:textFill>
        </w:rPr>
        <w:t>学校主管部门：广西壮族自治区</w:t>
      </w:r>
    </w:p>
    <w:p>
      <w:pPr>
        <w:autoSpaceDE w:val="0"/>
        <w:autoSpaceDN w:val="0"/>
        <w:spacing w:line="560" w:lineRule="exact"/>
        <w:ind w:firstLine="960" w:firstLineChars="300"/>
        <w:rPr>
          <w:rFonts w:hint="eastAsia" w:ascii="仿宋" w:hAnsi="仿宋" w:eastAsia="仿宋" w:cs="黑体"/>
          <w:color w:val="000000" w:themeColor="text1"/>
          <w:kern w:val="0"/>
          <w:sz w:val="32"/>
          <w:szCs w:val="36"/>
          <w:lang w:val="zh-CN" w:bidi="zh-CN"/>
          <w14:textFill>
            <w14:solidFill>
              <w14:schemeClr w14:val="tx1"/>
            </w14:solidFill>
          </w14:textFill>
        </w:rPr>
      </w:pPr>
      <w:r>
        <w:rPr>
          <w:rFonts w:hint="eastAsia" w:ascii="仿宋" w:hAnsi="仿宋" w:eastAsia="仿宋" w:cs="黑体"/>
          <w:color w:val="000000" w:themeColor="text1"/>
          <w:kern w:val="0"/>
          <w:sz w:val="32"/>
          <w:szCs w:val="36"/>
          <w:lang w:val="zh-CN" w:bidi="zh-CN"/>
          <w14:textFill>
            <w14:solidFill>
              <w14:schemeClr w14:val="tx1"/>
            </w14:solidFill>
          </w14:textFill>
        </w:rPr>
        <w:t>专业名称：数字经济</w:t>
      </w:r>
    </w:p>
    <w:p>
      <w:pPr>
        <w:autoSpaceDE w:val="0"/>
        <w:autoSpaceDN w:val="0"/>
        <w:spacing w:line="560" w:lineRule="exact"/>
        <w:ind w:firstLine="960" w:firstLineChars="300"/>
        <w:rPr>
          <w:rFonts w:hint="eastAsia" w:ascii="仿宋" w:hAnsi="仿宋" w:eastAsia="仿宋" w:cs="黑体"/>
          <w:color w:val="000000" w:themeColor="text1"/>
          <w:kern w:val="0"/>
          <w:sz w:val="32"/>
          <w:szCs w:val="36"/>
          <w:lang w:val="zh-CN" w:bidi="zh-CN"/>
          <w14:textFill>
            <w14:solidFill>
              <w14:schemeClr w14:val="tx1"/>
            </w14:solidFill>
          </w14:textFill>
        </w:rPr>
      </w:pPr>
      <w:r>
        <w:rPr>
          <w:rFonts w:hint="eastAsia" w:ascii="仿宋" w:hAnsi="仿宋" w:eastAsia="仿宋" w:cs="黑体"/>
          <w:color w:val="000000" w:themeColor="text1"/>
          <w:kern w:val="0"/>
          <w:sz w:val="32"/>
          <w:szCs w:val="36"/>
          <w:lang w:val="zh-CN" w:bidi="zh-CN"/>
          <w14:textFill>
            <w14:solidFill>
              <w14:schemeClr w14:val="tx1"/>
            </w14:solidFill>
          </w14:textFill>
        </w:rPr>
        <w:t>专业代码：</w:t>
      </w:r>
      <w:r>
        <w:rPr>
          <w:rFonts w:ascii="仿宋" w:hAnsi="仿宋" w:eastAsia="仿宋" w:cs="黑体"/>
          <w:color w:val="000000" w:themeColor="text1"/>
          <w:kern w:val="0"/>
          <w:sz w:val="32"/>
          <w:szCs w:val="36"/>
          <w:lang w:val="zh-CN" w:bidi="zh-CN"/>
          <w14:textFill>
            <w14:solidFill>
              <w14:schemeClr w14:val="tx1"/>
            </w14:solidFill>
          </w14:textFill>
        </w:rPr>
        <w:t>020109T</w:t>
      </w:r>
    </w:p>
    <w:p>
      <w:pPr>
        <w:autoSpaceDE w:val="0"/>
        <w:autoSpaceDN w:val="0"/>
        <w:spacing w:line="560" w:lineRule="exact"/>
        <w:ind w:firstLine="960" w:firstLineChars="300"/>
        <w:rPr>
          <w:rFonts w:hint="eastAsia" w:ascii="仿宋" w:hAnsi="仿宋" w:eastAsia="仿宋" w:cs="黑体"/>
          <w:color w:val="000000" w:themeColor="text1"/>
          <w:kern w:val="0"/>
          <w:sz w:val="32"/>
          <w:szCs w:val="36"/>
          <w:lang w:val="zh-CN" w:bidi="zh-CN"/>
          <w14:textFill>
            <w14:solidFill>
              <w14:schemeClr w14:val="tx1"/>
            </w14:solidFill>
          </w14:textFill>
        </w:rPr>
      </w:pPr>
      <w:r>
        <w:rPr>
          <w:rFonts w:hint="eastAsia" w:ascii="仿宋" w:hAnsi="仿宋" w:eastAsia="仿宋" w:cs="黑体"/>
          <w:color w:val="000000" w:themeColor="text1"/>
          <w:kern w:val="0"/>
          <w:sz w:val="32"/>
          <w:szCs w:val="36"/>
          <w:lang w:val="zh-CN" w:bidi="zh-CN"/>
          <w14:textFill>
            <w14:solidFill>
              <w14:schemeClr w14:val="tx1"/>
            </w14:solidFill>
          </w14:textFill>
        </w:rPr>
        <w:t>所属学科门类及专业类：经济学</w:t>
      </w:r>
      <w:r>
        <w:rPr>
          <w:rFonts w:hint="eastAsia" w:ascii="仿宋" w:hAnsi="仿宋" w:eastAsia="仿宋" w:cs="黑体"/>
          <w:color w:val="000000" w:themeColor="text1"/>
          <w:kern w:val="0"/>
          <w:sz w:val="32"/>
          <w:szCs w:val="36"/>
          <w:lang w:bidi="zh-CN"/>
          <w14:textFill>
            <w14:solidFill>
              <w14:schemeClr w14:val="tx1"/>
            </w14:solidFill>
          </w14:textFill>
        </w:rPr>
        <w:t>/</w:t>
      </w:r>
      <w:r>
        <w:rPr>
          <w:rFonts w:hint="eastAsia" w:ascii="仿宋" w:hAnsi="仿宋" w:eastAsia="仿宋" w:cs="黑体"/>
          <w:color w:val="000000" w:themeColor="text1"/>
          <w:kern w:val="0"/>
          <w:sz w:val="32"/>
          <w:szCs w:val="36"/>
          <w:lang w:val="zh-CN" w:bidi="zh-CN"/>
          <w14:textFill>
            <w14:solidFill>
              <w14:schemeClr w14:val="tx1"/>
            </w14:solidFill>
          </w14:textFill>
        </w:rPr>
        <w:t xml:space="preserve">经济学类 </w:t>
      </w:r>
    </w:p>
    <w:p>
      <w:pPr>
        <w:autoSpaceDE w:val="0"/>
        <w:autoSpaceDN w:val="0"/>
        <w:spacing w:line="560" w:lineRule="exact"/>
        <w:ind w:firstLine="960" w:firstLineChars="300"/>
        <w:rPr>
          <w:rFonts w:hint="eastAsia" w:ascii="仿宋" w:hAnsi="仿宋" w:eastAsia="仿宋" w:cs="黑体"/>
          <w:color w:val="000000" w:themeColor="text1"/>
          <w:kern w:val="0"/>
          <w:sz w:val="32"/>
          <w:szCs w:val="36"/>
          <w:lang w:val="zh-CN" w:bidi="zh-CN"/>
          <w14:textFill>
            <w14:solidFill>
              <w14:schemeClr w14:val="tx1"/>
            </w14:solidFill>
          </w14:textFill>
        </w:rPr>
      </w:pPr>
      <w:r>
        <w:rPr>
          <w:rFonts w:hint="eastAsia" w:ascii="仿宋" w:hAnsi="仿宋" w:eastAsia="仿宋" w:cs="黑体"/>
          <w:color w:val="000000" w:themeColor="text1"/>
          <w:kern w:val="0"/>
          <w:sz w:val="32"/>
          <w:szCs w:val="36"/>
          <w:lang w:val="zh-CN" w:bidi="zh-CN"/>
          <w14:textFill>
            <w14:solidFill>
              <w14:schemeClr w14:val="tx1"/>
            </w14:solidFill>
          </w14:textFill>
        </w:rPr>
        <w:t>学位授予门类：经济学</w:t>
      </w:r>
    </w:p>
    <w:p>
      <w:pPr>
        <w:autoSpaceDE w:val="0"/>
        <w:autoSpaceDN w:val="0"/>
        <w:spacing w:line="560" w:lineRule="exact"/>
        <w:ind w:firstLine="960" w:firstLineChars="300"/>
        <w:rPr>
          <w:rFonts w:hint="eastAsia" w:ascii="仿宋" w:hAnsi="仿宋" w:eastAsia="仿宋" w:cs="黑体"/>
          <w:color w:val="000000" w:themeColor="text1"/>
          <w:kern w:val="0"/>
          <w:sz w:val="32"/>
          <w:szCs w:val="36"/>
          <w:lang w:val="zh-CN" w:bidi="zh-CN"/>
          <w14:textFill>
            <w14:solidFill>
              <w14:schemeClr w14:val="tx1"/>
            </w14:solidFill>
          </w14:textFill>
        </w:rPr>
      </w:pPr>
      <w:r>
        <w:rPr>
          <w:rFonts w:hint="eastAsia" w:ascii="仿宋" w:hAnsi="仿宋" w:eastAsia="仿宋" w:cs="黑体"/>
          <w:color w:val="000000" w:themeColor="text1"/>
          <w:kern w:val="0"/>
          <w:sz w:val="32"/>
          <w:szCs w:val="36"/>
          <w:lang w:val="zh-CN" w:bidi="zh-CN"/>
          <w14:textFill>
            <w14:solidFill>
              <w14:schemeClr w14:val="tx1"/>
            </w14:solidFill>
          </w14:textFill>
        </w:rPr>
        <w:t>修业年限：四年</w:t>
      </w:r>
    </w:p>
    <w:p>
      <w:pPr>
        <w:autoSpaceDE w:val="0"/>
        <w:autoSpaceDN w:val="0"/>
        <w:spacing w:line="560" w:lineRule="exact"/>
        <w:ind w:firstLine="960" w:firstLineChars="300"/>
        <w:rPr>
          <w:rFonts w:hint="eastAsia" w:ascii="仿宋" w:hAnsi="仿宋" w:eastAsia="仿宋" w:cs="黑体"/>
          <w:color w:val="000000" w:themeColor="text1"/>
          <w:kern w:val="0"/>
          <w:sz w:val="32"/>
          <w:szCs w:val="36"/>
          <w:lang w:bidi="zh-CN"/>
          <w14:textFill>
            <w14:solidFill>
              <w14:schemeClr w14:val="tx1"/>
            </w14:solidFill>
          </w14:textFill>
        </w:rPr>
      </w:pPr>
      <w:r>
        <w:rPr>
          <w:rFonts w:hint="eastAsia" w:ascii="仿宋" w:hAnsi="仿宋" w:eastAsia="仿宋" w:cs="黑体"/>
          <w:color w:val="000000" w:themeColor="text1"/>
          <w:kern w:val="0"/>
          <w:sz w:val="32"/>
          <w:szCs w:val="36"/>
          <w:lang w:val="zh-CN" w:bidi="zh-CN"/>
          <w14:textFill>
            <w14:solidFill>
              <w14:schemeClr w14:val="tx1"/>
            </w14:solidFill>
          </w14:textFill>
        </w:rPr>
        <w:t>申请时间：20</w:t>
      </w:r>
      <w:r>
        <w:rPr>
          <w:rFonts w:hint="eastAsia" w:ascii="仿宋" w:hAnsi="仿宋" w:eastAsia="仿宋" w:cs="黑体"/>
          <w:color w:val="000000" w:themeColor="text1"/>
          <w:kern w:val="0"/>
          <w:sz w:val="32"/>
          <w:szCs w:val="36"/>
          <w:lang w:bidi="zh-CN"/>
          <w14:textFill>
            <w14:solidFill>
              <w14:schemeClr w14:val="tx1"/>
            </w14:solidFill>
          </w14:textFill>
        </w:rPr>
        <w:t>26</w:t>
      </w:r>
      <w:r>
        <w:rPr>
          <w:rFonts w:hint="eastAsia" w:ascii="仿宋" w:hAnsi="仿宋" w:eastAsia="仿宋" w:cs="黑体"/>
          <w:color w:val="000000" w:themeColor="text1"/>
          <w:kern w:val="0"/>
          <w:sz w:val="32"/>
          <w:szCs w:val="36"/>
          <w:lang w:val="zh-CN" w:bidi="zh-CN"/>
          <w14:textFill>
            <w14:solidFill>
              <w14:schemeClr w14:val="tx1"/>
            </w14:solidFill>
          </w14:textFill>
        </w:rPr>
        <w:t>-0</w:t>
      </w:r>
      <w:r>
        <w:rPr>
          <w:rFonts w:hint="eastAsia" w:ascii="仿宋" w:hAnsi="仿宋" w:eastAsia="仿宋" w:cs="黑体"/>
          <w:color w:val="000000" w:themeColor="text1"/>
          <w:kern w:val="0"/>
          <w:sz w:val="32"/>
          <w:szCs w:val="36"/>
          <w:lang w:bidi="zh-CN"/>
          <w14:textFill>
            <w14:solidFill>
              <w14:schemeClr w14:val="tx1"/>
            </w14:solidFill>
          </w14:textFill>
        </w:rPr>
        <w:t>7</w:t>
      </w:r>
      <w:r>
        <w:rPr>
          <w:rFonts w:hint="eastAsia" w:ascii="仿宋" w:hAnsi="仿宋" w:eastAsia="仿宋" w:cs="黑体"/>
          <w:color w:val="000000" w:themeColor="text1"/>
          <w:kern w:val="0"/>
          <w:sz w:val="32"/>
          <w:szCs w:val="36"/>
          <w:lang w:val="zh-CN" w:bidi="zh-CN"/>
          <w14:textFill>
            <w14:solidFill>
              <w14:schemeClr w14:val="tx1"/>
            </w14:solidFill>
          </w14:textFill>
        </w:rPr>
        <w:t>-</w:t>
      </w:r>
      <w:r>
        <w:rPr>
          <w:rFonts w:hint="eastAsia" w:ascii="仿宋" w:hAnsi="仿宋" w:eastAsia="仿宋" w:cs="黑体"/>
          <w:color w:val="000000" w:themeColor="text1"/>
          <w:kern w:val="0"/>
          <w:sz w:val="32"/>
          <w:szCs w:val="36"/>
          <w:lang w:bidi="zh-CN"/>
          <w14:textFill>
            <w14:solidFill>
              <w14:schemeClr w14:val="tx1"/>
            </w14:solidFill>
          </w14:textFill>
        </w:rPr>
        <w:t>22</w:t>
      </w:r>
    </w:p>
    <w:p>
      <w:pPr>
        <w:autoSpaceDE w:val="0"/>
        <w:autoSpaceDN w:val="0"/>
        <w:spacing w:line="560" w:lineRule="exact"/>
        <w:ind w:firstLine="960" w:firstLineChars="300"/>
        <w:rPr>
          <w:rFonts w:hint="eastAsia" w:ascii="仿宋" w:hAnsi="仿宋" w:eastAsia="仿宋" w:cs="黑体"/>
          <w:color w:val="000000" w:themeColor="text1"/>
          <w:kern w:val="0"/>
          <w:sz w:val="32"/>
          <w:szCs w:val="36"/>
          <w:lang w:bidi="zh-CN"/>
          <w14:textFill>
            <w14:solidFill>
              <w14:schemeClr w14:val="tx1"/>
            </w14:solidFill>
          </w14:textFill>
        </w:rPr>
      </w:pPr>
      <w:r>
        <w:rPr>
          <w:rFonts w:hint="eastAsia" w:ascii="仿宋" w:hAnsi="仿宋" w:eastAsia="仿宋" w:cs="黑体"/>
          <w:color w:val="000000" w:themeColor="text1"/>
          <w:kern w:val="0"/>
          <w:sz w:val="32"/>
          <w:szCs w:val="36"/>
          <w:lang w:val="zh-CN" w:bidi="zh-CN"/>
          <w14:textFill>
            <w14:solidFill>
              <w14:schemeClr w14:val="tx1"/>
            </w14:solidFill>
          </w14:textFill>
        </w:rPr>
        <w:t>专业负责人：</w:t>
      </w:r>
      <w:r>
        <w:rPr>
          <w:rFonts w:hint="eastAsia" w:ascii="仿宋" w:hAnsi="仿宋" w:eastAsia="仿宋" w:cs="黑体"/>
          <w:color w:val="000000" w:themeColor="text1"/>
          <w:kern w:val="0"/>
          <w:sz w:val="32"/>
          <w:szCs w:val="36"/>
          <w:lang w:bidi="zh-CN"/>
          <w14:textFill>
            <w14:solidFill>
              <w14:schemeClr w14:val="tx1"/>
            </w14:solidFill>
          </w14:textFill>
        </w:rPr>
        <w:t>张海丰</w:t>
      </w:r>
    </w:p>
    <w:p>
      <w:pPr>
        <w:autoSpaceDE w:val="0"/>
        <w:autoSpaceDN w:val="0"/>
        <w:spacing w:line="560" w:lineRule="exact"/>
        <w:ind w:firstLine="960" w:firstLineChars="300"/>
        <w:rPr>
          <w:rFonts w:hint="eastAsia" w:ascii="仿宋" w:hAnsi="仿宋" w:eastAsia="仿宋" w:cs="黑体"/>
          <w:color w:val="000000" w:themeColor="text1"/>
          <w:kern w:val="0"/>
          <w:sz w:val="32"/>
          <w:szCs w:val="36"/>
          <w:lang w:bidi="zh-CN"/>
          <w14:textFill>
            <w14:solidFill>
              <w14:schemeClr w14:val="tx1"/>
            </w14:solidFill>
          </w14:textFill>
        </w:rPr>
      </w:pPr>
      <w:r>
        <w:rPr>
          <w:rFonts w:hint="eastAsia" w:ascii="仿宋" w:hAnsi="仿宋" w:eastAsia="仿宋" w:cs="黑体"/>
          <w:color w:val="000000" w:themeColor="text1"/>
          <w:kern w:val="0"/>
          <w:sz w:val="32"/>
          <w:szCs w:val="36"/>
          <w:lang w:val="zh-CN" w:bidi="zh-CN"/>
          <w14:textFill>
            <w14:solidFill>
              <w14:schemeClr w14:val="tx1"/>
            </w14:solidFill>
          </w14:textFill>
        </w:rPr>
        <w:t>联系电话：</w:t>
      </w:r>
      <w:r>
        <w:rPr>
          <w:rFonts w:hint="eastAsia" w:ascii="仿宋" w:hAnsi="仿宋" w:eastAsia="仿宋" w:cs="黑体"/>
          <w:color w:val="000000" w:themeColor="text1"/>
          <w:kern w:val="0"/>
          <w:sz w:val="32"/>
          <w:szCs w:val="36"/>
          <w:lang w:bidi="zh-CN"/>
          <w14:textFill>
            <w14:solidFill>
              <w14:schemeClr w14:val="tx1"/>
            </w14:solidFill>
          </w14:textFill>
        </w:rPr>
        <w:t>18177365605</w:t>
      </w:r>
    </w:p>
    <w:p>
      <w:pPr>
        <w:autoSpaceDE w:val="0"/>
        <w:autoSpaceDN w:val="0"/>
        <w:spacing w:line="560" w:lineRule="exact"/>
        <w:ind w:firstLine="960" w:firstLineChars="300"/>
        <w:rPr>
          <w:rFonts w:hint="eastAsia" w:ascii="仿宋" w:hAnsi="仿宋" w:eastAsia="仿宋" w:cs="黑体"/>
          <w:kern w:val="0"/>
          <w:sz w:val="32"/>
          <w:szCs w:val="36"/>
          <w:lang w:bidi="zh-CN"/>
        </w:rPr>
      </w:pPr>
    </w:p>
    <w:p>
      <w:pPr>
        <w:autoSpaceDE w:val="0"/>
        <w:autoSpaceDN w:val="0"/>
        <w:spacing w:line="560" w:lineRule="exact"/>
        <w:ind w:firstLine="1080" w:firstLineChars="300"/>
        <w:rPr>
          <w:rFonts w:hint="eastAsia" w:ascii="仿宋" w:hAnsi="仿宋" w:eastAsia="仿宋" w:cs="宋体"/>
          <w:kern w:val="0"/>
          <w:sz w:val="36"/>
          <w:szCs w:val="22"/>
          <w:lang w:val="zh-CN" w:bidi="zh-CN"/>
        </w:rPr>
      </w:pPr>
    </w:p>
    <w:p>
      <w:pPr>
        <w:autoSpaceDE w:val="0"/>
        <w:autoSpaceDN w:val="0"/>
        <w:spacing w:before="3"/>
        <w:jc w:val="left"/>
        <w:rPr>
          <w:rFonts w:hint="eastAsia" w:ascii="仿宋_GB2312" w:hAnsi="宋体" w:eastAsia="仿宋_GB2312" w:cs="宋体"/>
          <w:kern w:val="0"/>
          <w:sz w:val="34"/>
          <w:szCs w:val="22"/>
          <w:lang w:val="zh-CN" w:bidi="zh-CN"/>
        </w:rPr>
      </w:pPr>
    </w:p>
    <w:p>
      <w:pPr>
        <w:autoSpaceDE w:val="0"/>
        <w:autoSpaceDN w:val="0"/>
        <w:ind w:left="912" w:right="1167"/>
        <w:jc w:val="center"/>
        <w:rPr>
          <w:rFonts w:hint="eastAsia" w:ascii="仿宋_GB2312" w:hAnsi="黑体" w:eastAsia="仿宋_GB2312" w:cs="黑体"/>
          <w:kern w:val="0"/>
          <w:sz w:val="28"/>
          <w:szCs w:val="36"/>
          <w:lang w:val="zh-CN" w:bidi="zh-CN"/>
        </w:rPr>
      </w:pPr>
      <w:r>
        <w:rPr>
          <w:rFonts w:hint="eastAsia" w:ascii="仿宋_GB2312" w:hAnsi="黑体" w:eastAsia="仿宋_GB2312" w:cs="黑体"/>
          <w:kern w:val="0"/>
          <w:sz w:val="28"/>
          <w:szCs w:val="36"/>
          <w:lang w:val="zh-CN" w:bidi="zh-CN"/>
        </w:rPr>
        <w:t>教育部制</w:t>
      </w:r>
    </w:p>
    <w:p>
      <w:pPr>
        <w:autoSpaceDE w:val="0"/>
        <w:autoSpaceDN w:val="0"/>
        <w:jc w:val="center"/>
        <w:rPr>
          <w:rFonts w:hint="eastAsia" w:ascii="宋体" w:hAnsi="宋体" w:cs="宋体"/>
          <w:kern w:val="0"/>
          <w:sz w:val="22"/>
          <w:szCs w:val="22"/>
          <w:lang w:val="zh-CN" w:bidi="zh-CN"/>
        </w:rPr>
        <w:sectPr>
          <w:footerReference r:id="rId4" w:type="default"/>
          <w:footnotePr>
            <w:numFmt w:val="decimalEnclosedCircleChinese"/>
            <w:numRestart w:val="eachPage"/>
          </w:footnotePr>
          <w:pgSz w:w="11906" w:h="16838"/>
          <w:pgMar w:top="2098" w:right="1474" w:bottom="1984" w:left="1588" w:header="851" w:footer="1559" w:gutter="0"/>
          <w:cols w:space="720" w:num="1"/>
          <w:titlePg/>
          <w:docGrid w:linePitch="1" w:charSpace="0"/>
        </w:sectPr>
      </w:pPr>
    </w:p>
    <w:p>
      <w:pPr>
        <w:autoSpaceDE w:val="0"/>
        <w:autoSpaceDN w:val="0"/>
        <w:jc w:val="center"/>
        <w:rPr>
          <w:kern w:val="0"/>
          <w:sz w:val="22"/>
          <w:szCs w:val="22"/>
          <w:lang w:val="zh-CN" w:bidi="zh-CN"/>
        </w:rPr>
        <w:sectPr>
          <w:footnotePr>
            <w:numFmt w:val="decimalEnclosedCircleChinese"/>
            <w:numRestart w:val="eachPage"/>
          </w:footnotePr>
          <w:type w:val="continuous"/>
          <w:pgSz w:w="11906" w:h="16838"/>
          <w:pgMar w:top="2098" w:right="1474" w:bottom="1984" w:left="1588" w:header="851" w:footer="1559" w:gutter="0"/>
          <w:cols w:space="720" w:num="1"/>
          <w:docGrid w:linePitch="1" w:charSpace="0"/>
        </w:sectPr>
      </w:pPr>
    </w:p>
    <w:p>
      <w:pPr>
        <w:tabs>
          <w:tab w:val="left" w:pos="3996"/>
        </w:tabs>
        <w:autoSpaceDE w:val="0"/>
        <w:autoSpaceDN w:val="0"/>
        <w:ind w:right="255"/>
        <w:jc w:val="center"/>
        <w:rPr>
          <w:rFonts w:hint="eastAsia" w:ascii="黑体" w:hAnsi="黑体" w:eastAsia="黑体"/>
          <w:kern w:val="0"/>
          <w:sz w:val="32"/>
          <w:szCs w:val="32"/>
          <w:lang w:bidi="zh-CN"/>
        </w:rPr>
      </w:pPr>
      <w:r>
        <w:rPr>
          <w:rFonts w:ascii="Times New Roman" w:hAnsi="Times New Roman" w:eastAsia="黑体"/>
          <w:kern w:val="0"/>
          <w:sz w:val="32"/>
          <w:szCs w:val="32"/>
          <w:lang w:val="zh-CN" w:bidi="zh-CN"/>
        </w:rPr>
        <w:t>1</w:t>
      </w:r>
      <w:r>
        <w:rPr>
          <w:rFonts w:ascii="黑体" w:hAnsi="黑体" w:eastAsia="黑体"/>
          <w:kern w:val="0"/>
          <w:sz w:val="32"/>
          <w:szCs w:val="32"/>
          <w:lang w:val="zh-CN" w:bidi="zh-CN"/>
        </w:rPr>
        <w:t>.学校基本情况</w:t>
      </w:r>
    </w:p>
    <w:p>
      <w:pPr>
        <w:autoSpaceDE w:val="0"/>
        <w:autoSpaceDN w:val="0"/>
        <w:spacing w:before="9"/>
        <w:jc w:val="left"/>
        <w:rPr>
          <w:rFonts w:eastAsia="黑体"/>
          <w:kern w:val="0"/>
          <w:sz w:val="10"/>
          <w:szCs w:val="36"/>
          <w:lang w:val="zh-CN" w:bidi="zh-CN"/>
        </w:rPr>
      </w:pPr>
    </w:p>
    <w:tbl>
      <w:tblPr>
        <w:tblStyle w:val="40"/>
        <w:tblW w:w="9580" w:type="dxa"/>
        <w:tblInd w:w="-4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58"/>
        <w:gridCol w:w="1975"/>
        <w:gridCol w:w="838"/>
        <w:gridCol w:w="680"/>
        <w:gridCol w:w="1765"/>
        <w:gridCol w:w="353"/>
        <w:gridCol w:w="21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858" w:type="dxa"/>
            <w:vAlign w:val="center"/>
          </w:tcPr>
          <w:p>
            <w:pPr>
              <w:autoSpaceDE w:val="0"/>
              <w:autoSpaceDN w:val="0"/>
              <w:jc w:val="center"/>
              <w:rPr>
                <w:rFonts w:ascii="Times New Roman" w:hAnsi="Times New Roman"/>
                <w:kern w:val="0"/>
                <w:sz w:val="24"/>
                <w:lang w:val="zh-CN" w:bidi="zh-CN"/>
              </w:rPr>
            </w:pPr>
            <w:r>
              <w:rPr>
                <w:rFonts w:ascii="Times New Roman" w:hAnsi="Times New Roman"/>
                <w:kern w:val="0"/>
                <w:sz w:val="24"/>
                <w:lang w:val="zh-CN" w:bidi="zh-CN"/>
              </w:rPr>
              <w:t>学校名称</w:t>
            </w:r>
          </w:p>
        </w:tc>
        <w:tc>
          <w:tcPr>
            <w:tcW w:w="1975" w:type="dxa"/>
            <w:vAlign w:val="center"/>
          </w:tcPr>
          <w:p>
            <w:pPr>
              <w:autoSpaceDE w:val="0"/>
              <w:autoSpaceDN w:val="0"/>
              <w:jc w:val="center"/>
              <w:rPr>
                <w:rFonts w:ascii="Times New Roman" w:hAnsi="Times New Roman"/>
                <w:kern w:val="0"/>
                <w:sz w:val="24"/>
                <w:lang w:val="zh-CN" w:bidi="zh-CN"/>
              </w:rPr>
            </w:pPr>
            <w:r>
              <w:rPr>
                <w:rFonts w:ascii="Times New Roman" w:hAnsi="Times New Roman"/>
                <w:spacing w:val="3"/>
              </w:rPr>
              <w:t>广西师范大学</w:t>
            </w:r>
          </w:p>
        </w:tc>
        <w:tc>
          <w:tcPr>
            <w:tcW w:w="1518" w:type="dxa"/>
            <w:gridSpan w:val="2"/>
            <w:vAlign w:val="center"/>
          </w:tcPr>
          <w:p>
            <w:pPr>
              <w:autoSpaceDE w:val="0"/>
              <w:autoSpaceDN w:val="0"/>
              <w:jc w:val="center"/>
              <w:rPr>
                <w:rFonts w:ascii="Times New Roman" w:hAnsi="Times New Roman"/>
                <w:kern w:val="0"/>
                <w:sz w:val="24"/>
                <w:lang w:val="zh-CN" w:bidi="zh-CN"/>
              </w:rPr>
            </w:pPr>
            <w:r>
              <w:rPr>
                <w:rFonts w:ascii="Times New Roman" w:hAnsi="Times New Roman"/>
                <w:kern w:val="0"/>
                <w:sz w:val="24"/>
                <w:lang w:val="zh-CN" w:bidi="zh-CN"/>
              </w:rPr>
              <w:t>学校代码</w:t>
            </w:r>
          </w:p>
        </w:tc>
        <w:tc>
          <w:tcPr>
            <w:tcW w:w="4229" w:type="dxa"/>
            <w:gridSpan w:val="3"/>
            <w:vAlign w:val="center"/>
          </w:tcPr>
          <w:p>
            <w:pPr>
              <w:autoSpaceDE w:val="0"/>
              <w:autoSpaceDN w:val="0"/>
              <w:jc w:val="center"/>
              <w:rPr>
                <w:rFonts w:ascii="Times New Roman" w:hAnsi="Times New Roman"/>
                <w:kern w:val="0"/>
                <w:sz w:val="24"/>
                <w:lang w:val="zh-CN" w:bidi="zh-CN"/>
              </w:rPr>
            </w:pPr>
            <w:r>
              <w:rPr>
                <w:rFonts w:ascii="Times New Roman" w:hAnsi="Times New Roman"/>
                <w:spacing w:val="-3"/>
              </w:rPr>
              <w:t>10602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858" w:type="dxa"/>
            <w:vAlign w:val="center"/>
          </w:tcPr>
          <w:p>
            <w:pPr>
              <w:autoSpaceDE w:val="0"/>
              <w:autoSpaceDN w:val="0"/>
              <w:jc w:val="center"/>
              <w:rPr>
                <w:rFonts w:ascii="Times New Roman" w:hAnsi="Times New Roman"/>
                <w:kern w:val="0"/>
                <w:sz w:val="24"/>
                <w:lang w:val="zh-CN" w:bidi="zh-CN"/>
              </w:rPr>
            </w:pPr>
            <w:r>
              <w:rPr>
                <w:rFonts w:ascii="Times New Roman" w:hAnsi="Times New Roman"/>
                <w:kern w:val="0"/>
                <w:sz w:val="24"/>
                <w:lang w:val="zh-CN" w:bidi="zh-CN"/>
              </w:rPr>
              <w:t>邮政编码</w:t>
            </w:r>
          </w:p>
        </w:tc>
        <w:tc>
          <w:tcPr>
            <w:tcW w:w="1975" w:type="dxa"/>
            <w:vAlign w:val="center"/>
          </w:tcPr>
          <w:p>
            <w:pPr>
              <w:autoSpaceDE w:val="0"/>
              <w:autoSpaceDN w:val="0"/>
              <w:jc w:val="center"/>
              <w:rPr>
                <w:rFonts w:ascii="Times New Roman" w:hAnsi="Times New Roman"/>
                <w:kern w:val="0"/>
                <w:sz w:val="24"/>
                <w:lang w:val="zh-CN" w:bidi="zh-CN"/>
              </w:rPr>
            </w:pPr>
            <w:r>
              <w:rPr>
                <w:rFonts w:ascii="Times New Roman" w:hAnsi="Times New Roman"/>
              </w:rPr>
              <w:t>541004</w:t>
            </w:r>
          </w:p>
        </w:tc>
        <w:tc>
          <w:tcPr>
            <w:tcW w:w="1518" w:type="dxa"/>
            <w:gridSpan w:val="2"/>
            <w:vAlign w:val="center"/>
          </w:tcPr>
          <w:p>
            <w:pPr>
              <w:autoSpaceDE w:val="0"/>
              <w:autoSpaceDN w:val="0"/>
              <w:spacing w:before="79"/>
              <w:ind w:left="276"/>
              <w:jc w:val="center"/>
              <w:rPr>
                <w:rFonts w:ascii="Times New Roman" w:hAnsi="Times New Roman"/>
                <w:kern w:val="0"/>
                <w:sz w:val="24"/>
                <w:lang w:val="zh-CN" w:bidi="zh-CN"/>
              </w:rPr>
            </w:pPr>
            <w:r>
              <w:rPr>
                <w:rFonts w:ascii="Times New Roman" w:hAnsi="Times New Roman"/>
                <w:kern w:val="0"/>
                <w:sz w:val="24"/>
                <w:lang w:val="zh-CN" w:bidi="zh-CN"/>
              </w:rPr>
              <w:t>学校网址</w:t>
            </w:r>
          </w:p>
        </w:tc>
        <w:tc>
          <w:tcPr>
            <w:tcW w:w="4229" w:type="dxa"/>
            <w:gridSpan w:val="3"/>
            <w:vAlign w:val="center"/>
          </w:tcPr>
          <w:p>
            <w:pPr>
              <w:autoSpaceDE w:val="0"/>
              <w:autoSpaceDN w:val="0"/>
              <w:jc w:val="center"/>
              <w:rPr>
                <w:rFonts w:ascii="Times New Roman" w:hAnsi="Times New Roman"/>
                <w:kern w:val="0"/>
                <w:sz w:val="24"/>
                <w:lang w:val="zh-CN" w:bidi="zh-CN"/>
              </w:rPr>
            </w:pPr>
            <w:r>
              <w:rPr>
                <w:rFonts w:ascii="Times New Roman" w:hAnsi="Times New Roman"/>
              </w:rPr>
              <w:t>www</w:t>
            </w:r>
            <w:r>
              <w:rPr>
                <w:rFonts w:ascii="Times New Roman" w:hAnsi="Times New Roman"/>
                <w:spacing w:val="13"/>
              </w:rPr>
              <w:t>.</w:t>
            </w:r>
            <w:r>
              <w:rPr>
                <w:rFonts w:ascii="Times New Roman" w:hAnsi="Times New Roman"/>
              </w:rPr>
              <w:t>gxnu</w:t>
            </w:r>
            <w:r>
              <w:rPr>
                <w:rFonts w:ascii="Times New Roman" w:hAnsi="Times New Roman"/>
                <w:spacing w:val="13"/>
              </w:rPr>
              <w:t>.</w:t>
            </w:r>
            <w:r>
              <w:rPr>
                <w:rFonts w:ascii="Times New Roman" w:hAnsi="Times New Roman"/>
              </w:rPr>
              <w:t>edu</w:t>
            </w:r>
            <w:r>
              <w:rPr>
                <w:rFonts w:ascii="Times New Roman" w:hAnsi="Times New Roman"/>
                <w:spacing w:val="13"/>
              </w:rPr>
              <w:t>.</w:t>
            </w:r>
            <w:r>
              <w:rPr>
                <w:rFonts w:ascii="Times New Roman" w:hAnsi="Times New Roman"/>
              </w:rPr>
              <w:t>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858" w:type="dxa"/>
            <w:vAlign w:val="center"/>
          </w:tcPr>
          <w:p>
            <w:pPr>
              <w:autoSpaceDE w:val="0"/>
              <w:autoSpaceDN w:val="0"/>
              <w:jc w:val="center"/>
              <w:rPr>
                <w:rFonts w:ascii="Times New Roman" w:hAnsi="Times New Roman"/>
                <w:kern w:val="0"/>
                <w:sz w:val="24"/>
                <w:lang w:val="zh-CN" w:bidi="zh-CN"/>
              </w:rPr>
            </w:pPr>
            <w:r>
              <w:rPr>
                <w:rFonts w:ascii="Times New Roman" w:hAnsi="Times New Roman"/>
                <w:kern w:val="0"/>
                <w:sz w:val="24"/>
                <w:lang w:val="zh-CN" w:bidi="zh-CN"/>
              </w:rPr>
              <w:t>学校办学</w:t>
            </w:r>
          </w:p>
          <w:p>
            <w:pPr>
              <w:autoSpaceDE w:val="0"/>
              <w:autoSpaceDN w:val="0"/>
              <w:jc w:val="center"/>
              <w:rPr>
                <w:rFonts w:ascii="Times New Roman" w:hAnsi="Times New Roman"/>
                <w:kern w:val="0"/>
                <w:sz w:val="24"/>
                <w:lang w:val="zh-CN" w:bidi="zh-CN"/>
              </w:rPr>
            </w:pPr>
            <w:r>
              <w:rPr>
                <w:rFonts w:ascii="Times New Roman" w:hAnsi="Times New Roman"/>
                <w:kern w:val="0"/>
                <w:sz w:val="24"/>
                <w:lang w:val="zh-CN" w:bidi="zh-CN"/>
              </w:rPr>
              <w:t>基本类型</w:t>
            </w:r>
          </w:p>
        </w:tc>
        <w:tc>
          <w:tcPr>
            <w:tcW w:w="7722" w:type="dxa"/>
            <w:gridSpan w:val="6"/>
            <w:vAlign w:val="center"/>
          </w:tcPr>
          <w:p>
            <w:pPr>
              <w:autoSpaceDE w:val="0"/>
              <w:autoSpaceDN w:val="0"/>
              <w:rPr>
                <w:rFonts w:ascii="Times New Roman" w:hAnsi="Times New Roman"/>
                <w:kern w:val="0"/>
                <w:sz w:val="24"/>
                <w:lang w:val="zh-CN" w:bidi="zh-CN"/>
              </w:rPr>
            </w:pPr>
            <w:r>
              <w:rPr>
                <w:rFonts w:ascii="Times New Roman" w:hAnsi="Times New Roman"/>
                <w:kern w:val="0"/>
                <w:sz w:val="24"/>
                <w:lang w:val="zh-CN" w:bidi="zh-CN"/>
              </w:rPr>
              <w:t xml:space="preserve">□教育部直属院校    □其他部委所属院校     </w:t>
            </w:r>
            <w:r>
              <w:rPr>
                <w:rFonts w:ascii="Segoe UI Symbol" w:hAnsi="Segoe UI Symbol" w:cs="Segoe UI Symbol"/>
                <w:kern w:val="0"/>
                <w:sz w:val="24"/>
                <w:lang w:val="zh-CN" w:bidi="zh-CN"/>
              </w:rPr>
              <w:t>☑</w:t>
            </w:r>
            <w:r>
              <w:rPr>
                <w:rFonts w:ascii="Times New Roman" w:hAnsi="Times New Roman"/>
                <w:kern w:val="0"/>
                <w:sz w:val="24"/>
                <w:lang w:val="zh-CN" w:bidi="zh-CN"/>
              </w:rPr>
              <w:t>地方院校</w:t>
            </w:r>
          </w:p>
          <w:p>
            <w:pPr>
              <w:autoSpaceDE w:val="0"/>
              <w:autoSpaceDN w:val="0"/>
              <w:rPr>
                <w:rFonts w:ascii="Times New Roman" w:hAnsi="Times New Roman"/>
                <w:color w:val="FFFFFF"/>
                <w:kern w:val="0"/>
                <w:sz w:val="24"/>
                <w:lang w:val="zh-CN" w:bidi="zh-CN"/>
              </w:rPr>
            </w:pPr>
            <w:r>
              <w:rPr>
                <w:rFonts w:ascii="Segoe UI Symbol" w:hAnsi="Segoe UI Symbol" w:cs="Segoe UI Symbol"/>
                <w:kern w:val="0"/>
                <w:sz w:val="24"/>
                <w:lang w:val="zh-CN" w:bidi="zh-CN"/>
              </w:rPr>
              <w:t>☑</w:t>
            </w:r>
            <w:r>
              <w:rPr>
                <w:rFonts w:ascii="Times New Roman" w:hAnsi="Times New Roman"/>
                <w:kern w:val="0"/>
                <w:sz w:val="24"/>
                <w:lang w:val="zh-CN" w:bidi="zh-CN"/>
              </w:rPr>
              <w:t>公办     □民办     □中外合作办学机构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858" w:type="dxa"/>
            <w:vAlign w:val="center"/>
          </w:tcPr>
          <w:p>
            <w:pPr>
              <w:autoSpaceDE w:val="0"/>
              <w:autoSpaceDN w:val="0"/>
              <w:jc w:val="center"/>
              <w:rPr>
                <w:rFonts w:ascii="Times New Roman" w:hAnsi="Times New Roman"/>
                <w:kern w:val="0"/>
                <w:sz w:val="24"/>
                <w:lang w:val="zh-CN" w:bidi="zh-CN"/>
              </w:rPr>
            </w:pPr>
            <w:r>
              <w:rPr>
                <w:rFonts w:ascii="Times New Roman" w:hAnsi="Times New Roman"/>
                <w:kern w:val="0"/>
                <w:sz w:val="24"/>
                <w:lang w:val="zh-CN" w:bidi="zh-CN"/>
              </w:rPr>
              <w:t>现有本科</w:t>
            </w:r>
          </w:p>
          <w:p>
            <w:pPr>
              <w:autoSpaceDE w:val="0"/>
              <w:autoSpaceDN w:val="0"/>
              <w:jc w:val="center"/>
              <w:rPr>
                <w:rFonts w:ascii="Times New Roman" w:hAnsi="Times New Roman"/>
                <w:kern w:val="0"/>
                <w:sz w:val="24"/>
                <w:lang w:val="zh-CN" w:bidi="zh-CN"/>
              </w:rPr>
            </w:pPr>
            <w:r>
              <w:rPr>
                <w:rFonts w:ascii="Times New Roman" w:hAnsi="Times New Roman"/>
                <w:kern w:val="0"/>
                <w:sz w:val="24"/>
                <w:lang w:val="zh-CN" w:bidi="zh-CN"/>
              </w:rPr>
              <w:t>专业数</w:t>
            </w:r>
          </w:p>
        </w:tc>
        <w:tc>
          <w:tcPr>
            <w:tcW w:w="2813" w:type="dxa"/>
            <w:gridSpan w:val="2"/>
            <w:vAlign w:val="center"/>
          </w:tcPr>
          <w:p>
            <w:pPr>
              <w:autoSpaceDE w:val="0"/>
              <w:autoSpaceDN w:val="0"/>
              <w:jc w:val="center"/>
              <w:rPr>
                <w:rFonts w:ascii="Times New Roman" w:hAnsi="Times New Roman"/>
                <w:kern w:val="0"/>
                <w:sz w:val="24"/>
                <w:lang w:bidi="zh-CN"/>
              </w:rPr>
            </w:pPr>
            <w:r>
              <w:rPr>
                <w:rFonts w:ascii="Times New Roman" w:hAnsi="Times New Roman"/>
                <w:kern w:val="0"/>
                <w:sz w:val="24"/>
                <w:lang w:bidi="zh-CN"/>
              </w:rPr>
              <w:t>74</w:t>
            </w:r>
          </w:p>
        </w:tc>
        <w:tc>
          <w:tcPr>
            <w:tcW w:w="2445" w:type="dxa"/>
            <w:gridSpan w:val="2"/>
            <w:vAlign w:val="center"/>
          </w:tcPr>
          <w:p>
            <w:pPr>
              <w:autoSpaceDE w:val="0"/>
              <w:autoSpaceDN w:val="0"/>
              <w:jc w:val="center"/>
              <w:rPr>
                <w:rFonts w:ascii="Times New Roman" w:hAnsi="Times New Roman"/>
                <w:kern w:val="0"/>
                <w:sz w:val="24"/>
                <w:lang w:val="zh-CN" w:bidi="zh-CN"/>
              </w:rPr>
            </w:pPr>
            <w:r>
              <w:rPr>
                <w:rFonts w:ascii="Times New Roman" w:hAnsi="Times New Roman"/>
                <w:kern w:val="0"/>
                <w:sz w:val="24"/>
                <w:lang w:val="zh-CN" w:bidi="zh-CN"/>
              </w:rPr>
              <w:t>上一年度全校本科</w:t>
            </w:r>
          </w:p>
          <w:p>
            <w:pPr>
              <w:autoSpaceDE w:val="0"/>
              <w:autoSpaceDN w:val="0"/>
              <w:jc w:val="center"/>
              <w:rPr>
                <w:rFonts w:ascii="Times New Roman" w:hAnsi="Times New Roman"/>
                <w:kern w:val="0"/>
                <w:sz w:val="24"/>
                <w:lang w:val="zh-CN" w:bidi="zh-CN"/>
              </w:rPr>
            </w:pPr>
            <w:r>
              <w:rPr>
                <w:rFonts w:ascii="Times New Roman" w:hAnsi="Times New Roman"/>
                <w:kern w:val="0"/>
                <w:sz w:val="24"/>
                <w:lang w:val="zh-CN" w:bidi="zh-CN"/>
              </w:rPr>
              <w:t>招生人数</w:t>
            </w:r>
          </w:p>
        </w:tc>
        <w:tc>
          <w:tcPr>
            <w:tcW w:w="2464" w:type="dxa"/>
            <w:gridSpan w:val="2"/>
            <w:vAlign w:val="center"/>
          </w:tcPr>
          <w:p>
            <w:pPr>
              <w:autoSpaceDE w:val="0"/>
              <w:autoSpaceDN w:val="0"/>
              <w:jc w:val="center"/>
              <w:rPr>
                <w:rFonts w:ascii="Times New Roman" w:hAnsi="Times New Roman"/>
                <w:kern w:val="0"/>
                <w:sz w:val="24"/>
                <w:lang w:bidi="zh-CN"/>
              </w:rPr>
            </w:pPr>
            <w:r>
              <w:rPr>
                <w:rFonts w:ascii="Times New Roman" w:hAnsi="Times New Roman"/>
                <w:kern w:val="0"/>
                <w:sz w:val="24"/>
                <w:lang w:bidi="zh-CN"/>
              </w:rPr>
              <w:t>7299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1858" w:type="dxa"/>
            <w:vAlign w:val="center"/>
          </w:tcPr>
          <w:p>
            <w:pPr>
              <w:autoSpaceDE w:val="0"/>
              <w:autoSpaceDN w:val="0"/>
              <w:jc w:val="center"/>
              <w:rPr>
                <w:rFonts w:ascii="Times New Roman" w:hAnsi="Times New Roman"/>
                <w:kern w:val="0"/>
                <w:sz w:val="24"/>
                <w:lang w:val="zh-CN" w:bidi="zh-CN"/>
              </w:rPr>
            </w:pPr>
            <w:r>
              <w:rPr>
                <w:rFonts w:ascii="Times New Roman" w:hAnsi="Times New Roman"/>
                <w:kern w:val="0"/>
                <w:sz w:val="24"/>
                <w:lang w:val="zh-CN" w:bidi="zh-CN"/>
              </w:rPr>
              <w:t>上一年度全校</w:t>
            </w:r>
          </w:p>
          <w:p>
            <w:pPr>
              <w:autoSpaceDE w:val="0"/>
              <w:autoSpaceDN w:val="0"/>
              <w:jc w:val="center"/>
              <w:rPr>
                <w:rFonts w:ascii="Times New Roman" w:hAnsi="Times New Roman"/>
                <w:kern w:val="0"/>
                <w:sz w:val="24"/>
                <w:lang w:val="zh-CN" w:bidi="zh-CN"/>
              </w:rPr>
            </w:pPr>
            <w:r>
              <w:rPr>
                <w:rFonts w:ascii="Times New Roman" w:hAnsi="Times New Roman"/>
                <w:kern w:val="0"/>
                <w:sz w:val="24"/>
                <w:lang w:val="zh-CN" w:bidi="zh-CN"/>
              </w:rPr>
              <w:t>本科毕业人数</w:t>
            </w:r>
          </w:p>
        </w:tc>
        <w:tc>
          <w:tcPr>
            <w:tcW w:w="2813" w:type="dxa"/>
            <w:gridSpan w:val="2"/>
            <w:vAlign w:val="center"/>
          </w:tcPr>
          <w:p>
            <w:pPr>
              <w:autoSpaceDE w:val="0"/>
              <w:autoSpaceDN w:val="0"/>
              <w:jc w:val="center"/>
              <w:rPr>
                <w:rFonts w:ascii="Times New Roman" w:hAnsi="Times New Roman"/>
                <w:kern w:val="0"/>
                <w:sz w:val="24"/>
                <w:lang w:bidi="zh-CN"/>
              </w:rPr>
            </w:pPr>
            <w:r>
              <w:rPr>
                <w:rFonts w:ascii="Times New Roman" w:hAnsi="Times New Roman"/>
                <w:kern w:val="0"/>
                <w:sz w:val="24"/>
                <w:lang w:bidi="zh-CN"/>
              </w:rPr>
              <w:t>6813</w:t>
            </w:r>
          </w:p>
        </w:tc>
        <w:tc>
          <w:tcPr>
            <w:tcW w:w="2445" w:type="dxa"/>
            <w:gridSpan w:val="2"/>
            <w:vAlign w:val="center"/>
          </w:tcPr>
          <w:p>
            <w:pPr>
              <w:autoSpaceDE w:val="0"/>
              <w:autoSpaceDN w:val="0"/>
              <w:jc w:val="center"/>
              <w:rPr>
                <w:rFonts w:ascii="Times New Roman" w:hAnsi="Times New Roman"/>
                <w:kern w:val="0"/>
                <w:sz w:val="24"/>
                <w:lang w:val="zh-CN" w:bidi="zh-CN"/>
              </w:rPr>
            </w:pPr>
            <w:r>
              <w:rPr>
                <w:rFonts w:ascii="Times New Roman" w:hAnsi="Times New Roman"/>
                <w:kern w:val="0"/>
                <w:sz w:val="24"/>
                <w:lang w:val="zh-CN" w:bidi="zh-CN"/>
              </w:rPr>
              <w:t>学校所在省市区</w:t>
            </w:r>
          </w:p>
        </w:tc>
        <w:tc>
          <w:tcPr>
            <w:tcW w:w="2464" w:type="dxa"/>
            <w:gridSpan w:val="2"/>
            <w:vAlign w:val="center"/>
          </w:tcPr>
          <w:p>
            <w:pPr>
              <w:autoSpaceDE w:val="0"/>
              <w:autoSpaceDN w:val="0"/>
              <w:jc w:val="center"/>
              <w:rPr>
                <w:rFonts w:ascii="Times New Roman" w:hAnsi="Times New Roman"/>
                <w:kern w:val="0"/>
                <w:sz w:val="24"/>
                <w:lang w:val="zh-CN" w:bidi="zh-CN"/>
              </w:rPr>
            </w:pPr>
            <w:r>
              <w:rPr>
                <w:rFonts w:ascii="Times New Roman" w:hAnsi="Times New Roman"/>
                <w:kern w:val="0"/>
                <w:sz w:val="24"/>
                <w:lang w:val="zh-CN" w:bidi="zh-CN"/>
              </w:rPr>
              <w:t>广西桂林七星区</w:t>
            </w:r>
          </w:p>
          <w:p>
            <w:pPr>
              <w:autoSpaceDE w:val="0"/>
              <w:autoSpaceDN w:val="0"/>
              <w:jc w:val="center"/>
              <w:rPr>
                <w:rFonts w:ascii="Times New Roman" w:hAnsi="Times New Roman"/>
                <w:kern w:val="0"/>
                <w:sz w:val="24"/>
                <w:lang w:val="zh-CN" w:bidi="zh-CN"/>
              </w:rPr>
            </w:pPr>
            <w:r>
              <w:rPr>
                <w:rFonts w:ascii="Times New Roman" w:hAnsi="Times New Roman"/>
                <w:kern w:val="0"/>
                <w:sz w:val="24"/>
                <w:lang w:val="zh-CN" w:bidi="zh-CN"/>
              </w:rPr>
              <w:t>育才路15号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trPr>
        <w:tc>
          <w:tcPr>
            <w:tcW w:w="1858" w:type="dxa"/>
            <w:vAlign w:val="center"/>
          </w:tcPr>
          <w:p>
            <w:pPr>
              <w:autoSpaceDE w:val="0"/>
              <w:autoSpaceDN w:val="0"/>
              <w:jc w:val="center"/>
              <w:rPr>
                <w:rFonts w:ascii="Times New Roman" w:hAnsi="Times New Roman"/>
                <w:kern w:val="0"/>
                <w:sz w:val="24"/>
                <w:lang w:val="zh-CN" w:bidi="zh-CN"/>
              </w:rPr>
            </w:pPr>
            <w:r>
              <w:rPr>
                <w:rFonts w:ascii="Times New Roman" w:hAnsi="Times New Roman"/>
                <w:kern w:val="0"/>
                <w:sz w:val="24"/>
                <w:lang w:val="zh-CN" w:bidi="zh-CN"/>
              </w:rPr>
              <w:t>已有专业</w:t>
            </w:r>
          </w:p>
          <w:p>
            <w:pPr>
              <w:autoSpaceDE w:val="0"/>
              <w:autoSpaceDN w:val="0"/>
              <w:jc w:val="center"/>
              <w:rPr>
                <w:rFonts w:ascii="Times New Roman" w:hAnsi="Times New Roman"/>
                <w:kern w:val="0"/>
                <w:sz w:val="24"/>
                <w:lang w:val="zh-CN" w:bidi="zh-CN"/>
              </w:rPr>
            </w:pPr>
            <w:r>
              <w:rPr>
                <w:rFonts w:ascii="Times New Roman" w:hAnsi="Times New Roman"/>
                <w:kern w:val="0"/>
                <w:sz w:val="24"/>
                <w:lang w:val="zh-CN" w:bidi="zh-CN"/>
              </w:rPr>
              <w:t>学科门类</w:t>
            </w:r>
          </w:p>
        </w:tc>
        <w:tc>
          <w:tcPr>
            <w:tcW w:w="7722" w:type="dxa"/>
            <w:gridSpan w:val="6"/>
            <w:vAlign w:val="center"/>
          </w:tcPr>
          <w:p>
            <w:pPr>
              <w:autoSpaceDE w:val="0"/>
              <w:autoSpaceDN w:val="0"/>
              <w:rPr>
                <w:rFonts w:ascii="Times New Roman" w:hAnsi="Times New Roman"/>
                <w:kern w:val="0"/>
                <w:sz w:val="24"/>
                <w:lang w:val="zh-CN" w:bidi="zh-CN"/>
              </w:rPr>
            </w:pPr>
            <w:r>
              <w:rPr>
                <w:rFonts w:ascii="Times New Roman" w:hAnsi="Times New Roman"/>
                <w:kern w:val="0"/>
                <w:sz w:val="24"/>
                <w:lang w:val="zh-CN" w:bidi="zh-CN"/>
              </w:rPr>
              <w:t xml:space="preserve">□哲学  </w:t>
            </w:r>
            <w:r>
              <w:rPr>
                <w:rFonts w:ascii="Segoe UI Symbol" w:hAnsi="Segoe UI Symbol" w:cs="Segoe UI Symbol"/>
                <w:kern w:val="0"/>
                <w:sz w:val="24"/>
                <w:lang w:val="zh-CN" w:bidi="zh-CN"/>
              </w:rPr>
              <w:t>☑</w:t>
            </w:r>
            <w:r>
              <w:rPr>
                <w:rFonts w:ascii="Times New Roman" w:hAnsi="Times New Roman"/>
                <w:kern w:val="0"/>
                <w:sz w:val="24"/>
                <w:lang w:val="zh-CN" w:bidi="zh-CN"/>
              </w:rPr>
              <w:t xml:space="preserve">经济学  </w:t>
            </w:r>
            <w:r>
              <w:rPr>
                <w:rFonts w:ascii="Segoe UI Symbol" w:hAnsi="Segoe UI Symbol" w:cs="Segoe UI Symbol"/>
                <w:kern w:val="0"/>
                <w:sz w:val="24"/>
                <w:lang w:val="zh-CN" w:bidi="zh-CN"/>
              </w:rPr>
              <w:t>☑</w:t>
            </w:r>
            <w:r>
              <w:rPr>
                <w:rFonts w:ascii="Times New Roman" w:hAnsi="Times New Roman"/>
                <w:kern w:val="0"/>
                <w:sz w:val="24"/>
                <w:lang w:val="zh-CN" w:bidi="zh-CN"/>
              </w:rPr>
              <w:t xml:space="preserve">法学   </w:t>
            </w:r>
            <w:r>
              <w:rPr>
                <w:rFonts w:ascii="Segoe UI Symbol" w:hAnsi="Segoe UI Symbol" w:cs="Segoe UI Symbol"/>
                <w:kern w:val="0"/>
                <w:sz w:val="24"/>
                <w:lang w:val="zh-CN" w:bidi="zh-CN"/>
              </w:rPr>
              <w:t>☑</w:t>
            </w:r>
            <w:r>
              <w:rPr>
                <w:rFonts w:ascii="Times New Roman" w:hAnsi="Times New Roman"/>
                <w:kern w:val="0"/>
                <w:sz w:val="24"/>
                <w:lang w:val="zh-CN" w:bidi="zh-CN"/>
              </w:rPr>
              <w:t xml:space="preserve">教育学   </w:t>
            </w:r>
            <w:r>
              <w:rPr>
                <w:rFonts w:ascii="Segoe UI Symbol" w:hAnsi="Segoe UI Symbol" w:cs="Segoe UI Symbol"/>
                <w:kern w:val="0"/>
                <w:sz w:val="24"/>
                <w:lang w:val="zh-CN" w:bidi="zh-CN"/>
              </w:rPr>
              <w:t>☑</w:t>
            </w:r>
            <w:r>
              <w:rPr>
                <w:rFonts w:ascii="Times New Roman" w:hAnsi="Times New Roman"/>
                <w:kern w:val="0"/>
                <w:sz w:val="24"/>
                <w:lang w:val="zh-CN" w:bidi="zh-CN"/>
              </w:rPr>
              <w:t xml:space="preserve">文学    </w:t>
            </w:r>
            <w:r>
              <w:rPr>
                <w:rFonts w:ascii="Segoe UI Symbol" w:hAnsi="Segoe UI Symbol" w:cs="Segoe UI Symbol"/>
                <w:kern w:val="0"/>
                <w:sz w:val="24"/>
                <w:lang w:val="zh-CN" w:bidi="zh-CN"/>
              </w:rPr>
              <w:t>☑</w:t>
            </w:r>
            <w:r>
              <w:rPr>
                <w:rFonts w:ascii="Times New Roman" w:hAnsi="Times New Roman"/>
                <w:kern w:val="0"/>
                <w:sz w:val="24"/>
                <w:lang w:val="zh-CN" w:bidi="zh-CN"/>
              </w:rPr>
              <w:t>历史学</w:t>
            </w:r>
          </w:p>
          <w:p>
            <w:pPr>
              <w:autoSpaceDE w:val="0"/>
              <w:autoSpaceDN w:val="0"/>
              <w:rPr>
                <w:rFonts w:ascii="Times New Roman" w:hAnsi="Times New Roman"/>
                <w:kern w:val="0"/>
                <w:sz w:val="24"/>
                <w:lang w:val="zh-CN" w:bidi="zh-CN"/>
              </w:rPr>
            </w:pPr>
            <w:r>
              <w:rPr>
                <w:rFonts w:ascii="Segoe UI Symbol" w:hAnsi="Segoe UI Symbol" w:cs="Segoe UI Symbol"/>
                <w:kern w:val="0"/>
                <w:sz w:val="24"/>
                <w:lang w:val="zh-CN" w:bidi="zh-CN"/>
              </w:rPr>
              <w:t>☑</w:t>
            </w:r>
            <w:r>
              <w:rPr>
                <w:rFonts w:ascii="Times New Roman" w:hAnsi="Times New Roman"/>
                <w:kern w:val="0"/>
                <w:sz w:val="24"/>
                <w:lang w:val="zh-CN" w:bidi="zh-CN"/>
              </w:rPr>
              <w:t xml:space="preserve">理学  </w:t>
            </w:r>
            <w:r>
              <w:rPr>
                <w:rFonts w:ascii="Segoe UI Symbol" w:hAnsi="Segoe UI Symbol" w:cs="Segoe UI Symbol"/>
                <w:kern w:val="0"/>
                <w:sz w:val="24"/>
                <w:lang w:val="zh-CN" w:bidi="zh-CN"/>
              </w:rPr>
              <w:t>☑</w:t>
            </w:r>
            <w:r>
              <w:rPr>
                <w:rFonts w:ascii="Times New Roman" w:hAnsi="Times New Roman"/>
                <w:kern w:val="0"/>
                <w:sz w:val="24"/>
                <w:lang w:val="zh-CN" w:bidi="zh-CN"/>
              </w:rPr>
              <w:t xml:space="preserve">工学    □农学   □医学     </w:t>
            </w:r>
            <w:r>
              <w:rPr>
                <w:rFonts w:ascii="Segoe UI Symbol" w:hAnsi="Segoe UI Symbol" w:cs="Segoe UI Symbol"/>
                <w:kern w:val="0"/>
                <w:sz w:val="24"/>
                <w:lang w:val="zh-CN" w:bidi="zh-CN"/>
              </w:rPr>
              <w:t>☑</w:t>
            </w:r>
            <w:r>
              <w:rPr>
                <w:rFonts w:ascii="Times New Roman" w:hAnsi="Times New Roman"/>
                <w:kern w:val="0"/>
                <w:sz w:val="24"/>
                <w:lang w:val="zh-CN" w:bidi="zh-CN"/>
              </w:rPr>
              <w:t xml:space="preserve">管理学  </w:t>
            </w:r>
            <w:r>
              <w:rPr>
                <w:rFonts w:ascii="Segoe UI Symbol" w:hAnsi="Segoe UI Symbol" w:cs="Segoe UI Symbol"/>
                <w:kern w:val="0"/>
                <w:sz w:val="24"/>
                <w:lang w:val="zh-CN" w:bidi="zh-CN"/>
              </w:rPr>
              <w:t>☑</w:t>
            </w:r>
            <w:r>
              <w:rPr>
                <w:rFonts w:ascii="Times New Roman" w:hAnsi="Times New Roman"/>
                <w:kern w:val="0"/>
                <w:sz w:val="24"/>
                <w:lang w:val="zh-CN" w:bidi="zh-CN"/>
              </w:rPr>
              <w:t>艺术学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0" w:hRule="atLeast"/>
        </w:trPr>
        <w:tc>
          <w:tcPr>
            <w:tcW w:w="1858" w:type="dxa"/>
            <w:vAlign w:val="center"/>
          </w:tcPr>
          <w:p>
            <w:pPr>
              <w:autoSpaceDE w:val="0"/>
              <w:autoSpaceDN w:val="0"/>
              <w:jc w:val="center"/>
              <w:rPr>
                <w:rFonts w:ascii="Times New Roman" w:hAnsi="Times New Roman"/>
                <w:kern w:val="0"/>
                <w:sz w:val="24"/>
                <w:lang w:val="zh-CN" w:bidi="zh-CN"/>
              </w:rPr>
            </w:pPr>
            <w:r>
              <w:rPr>
                <w:rFonts w:ascii="Times New Roman" w:hAnsi="Times New Roman"/>
                <w:kern w:val="0"/>
                <w:sz w:val="24"/>
                <w:lang w:val="zh-CN" w:bidi="zh-CN"/>
              </w:rPr>
              <w:t>学校性质</w:t>
            </w:r>
          </w:p>
        </w:tc>
        <w:tc>
          <w:tcPr>
            <w:tcW w:w="7722" w:type="dxa"/>
            <w:gridSpan w:val="6"/>
            <w:vAlign w:val="center"/>
          </w:tcPr>
          <w:p>
            <w:pPr>
              <w:autoSpaceDE w:val="0"/>
              <w:autoSpaceDN w:val="0"/>
              <w:rPr>
                <w:rFonts w:ascii="Times New Roman" w:hAnsi="Times New Roman"/>
                <w:kern w:val="0"/>
                <w:sz w:val="24"/>
                <w:lang w:bidi="zh-CN"/>
              </w:rPr>
            </w:pPr>
            <w:r>
              <w:rPr>
                <w:rFonts w:ascii="Times New Roman" w:hAnsi="Times New Roman"/>
                <w:kern w:val="0"/>
                <w:sz w:val="24"/>
                <w:lang w:val="zh-CN" w:bidi="zh-CN"/>
              </w:rPr>
              <w:t xml:space="preserve">○综合   ○理工   ○农业   ○林业   ○医药   </w:t>
            </w:r>
            <w:r>
              <w:rPr>
                <w:rFonts w:ascii="Times New Roman" w:hAnsi="Times New Roman"/>
                <w:b/>
                <w:bCs/>
                <w:kern w:val="0"/>
                <w:sz w:val="24"/>
                <w:lang w:val="zh-CN" w:bidi="zh-CN"/>
              </w:rPr>
              <w:t>○师范</w:t>
            </w:r>
            <w:r>
              <w:rPr>
                <w:rFonts w:ascii="Times New Roman" w:hAnsi="Times New Roman"/>
                <w:b/>
                <w:bCs/>
                <w:kern w:val="0"/>
                <w:sz w:val="24"/>
                <w:lang w:bidi="zh-CN"/>
              </w:rPr>
              <w:t>√</w:t>
            </w:r>
          </w:p>
          <w:p>
            <w:pPr>
              <w:autoSpaceDE w:val="0"/>
              <w:autoSpaceDN w:val="0"/>
              <w:rPr>
                <w:rFonts w:ascii="Times New Roman" w:hAnsi="Times New Roman"/>
                <w:kern w:val="0"/>
                <w:sz w:val="24"/>
                <w:lang w:val="zh-CN" w:bidi="zh-CN"/>
              </w:rPr>
            </w:pPr>
            <w:r>
              <w:rPr>
                <w:rFonts w:ascii="Times New Roman" w:hAnsi="Times New Roman"/>
                <w:kern w:val="0"/>
                <w:sz w:val="24"/>
                <w:lang w:val="zh-CN" w:bidi="zh-CN"/>
              </w:rPr>
              <w:t>○语言   ○财经   ○政法   ○体育   ○艺术   ○民族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 w:hRule="atLeast"/>
        </w:trPr>
        <w:tc>
          <w:tcPr>
            <w:tcW w:w="1858" w:type="dxa"/>
            <w:vAlign w:val="center"/>
          </w:tcPr>
          <w:p>
            <w:pPr>
              <w:autoSpaceDE w:val="0"/>
              <w:autoSpaceDN w:val="0"/>
              <w:jc w:val="center"/>
              <w:rPr>
                <w:rFonts w:ascii="Times New Roman" w:hAnsi="Times New Roman"/>
                <w:kern w:val="0"/>
                <w:sz w:val="24"/>
                <w:lang w:val="zh-CN" w:bidi="zh-CN"/>
              </w:rPr>
            </w:pPr>
            <w:r>
              <w:rPr>
                <w:rFonts w:ascii="Times New Roman" w:hAnsi="Times New Roman"/>
                <w:kern w:val="0"/>
                <w:sz w:val="24"/>
                <w:lang w:val="zh-CN" w:bidi="zh-CN"/>
              </w:rPr>
              <w:t>专任教师总数</w:t>
            </w:r>
          </w:p>
        </w:tc>
        <w:tc>
          <w:tcPr>
            <w:tcW w:w="2813" w:type="dxa"/>
            <w:gridSpan w:val="2"/>
            <w:vAlign w:val="center"/>
          </w:tcPr>
          <w:p>
            <w:pPr>
              <w:autoSpaceDE w:val="0"/>
              <w:autoSpaceDN w:val="0"/>
              <w:jc w:val="center"/>
              <w:rPr>
                <w:rFonts w:ascii="Times New Roman" w:hAnsi="Times New Roman"/>
                <w:kern w:val="0"/>
                <w:sz w:val="24"/>
                <w:lang w:bidi="zh-CN"/>
              </w:rPr>
            </w:pPr>
            <w:r>
              <w:rPr>
                <w:rFonts w:hint="eastAsia" w:ascii="Times New Roman" w:hAnsi="Times New Roman"/>
                <w:kern w:val="0"/>
                <w:sz w:val="24"/>
                <w:lang w:bidi="zh-CN"/>
              </w:rPr>
              <w:t>1743</w:t>
            </w:r>
          </w:p>
        </w:tc>
        <w:tc>
          <w:tcPr>
            <w:tcW w:w="2798" w:type="dxa"/>
            <w:gridSpan w:val="3"/>
            <w:vAlign w:val="center"/>
          </w:tcPr>
          <w:p>
            <w:pPr>
              <w:autoSpaceDE w:val="0"/>
              <w:autoSpaceDN w:val="0"/>
              <w:jc w:val="center"/>
              <w:rPr>
                <w:rFonts w:ascii="Times New Roman" w:hAnsi="Times New Roman"/>
                <w:kern w:val="0"/>
                <w:sz w:val="24"/>
                <w:lang w:val="zh-CN" w:bidi="zh-CN"/>
              </w:rPr>
            </w:pPr>
            <w:r>
              <w:rPr>
                <w:rFonts w:ascii="Times New Roman" w:hAnsi="Times New Roman"/>
                <w:kern w:val="0"/>
                <w:sz w:val="24"/>
                <w:lang w:val="zh-CN" w:bidi="zh-CN"/>
              </w:rPr>
              <w:t>专任教师中副教授及以上职称教师数</w:t>
            </w:r>
          </w:p>
        </w:tc>
        <w:tc>
          <w:tcPr>
            <w:tcW w:w="2111" w:type="dxa"/>
            <w:vAlign w:val="center"/>
          </w:tcPr>
          <w:p>
            <w:pPr>
              <w:autoSpaceDE w:val="0"/>
              <w:autoSpaceDN w:val="0"/>
              <w:jc w:val="center"/>
              <w:rPr>
                <w:rFonts w:ascii="Times New Roman" w:hAnsi="Times New Roman"/>
                <w:kern w:val="0"/>
                <w:sz w:val="24"/>
                <w:lang w:bidi="zh-CN"/>
              </w:rPr>
            </w:pPr>
            <w:r>
              <w:rPr>
                <w:rFonts w:hint="eastAsia" w:ascii="Times New Roman" w:hAnsi="Times New Roman"/>
                <w:kern w:val="0"/>
                <w:sz w:val="24"/>
                <w:lang w:bidi="zh-CN"/>
              </w:rPr>
              <w:t>1067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858" w:type="dxa"/>
            <w:vAlign w:val="center"/>
          </w:tcPr>
          <w:p>
            <w:pPr>
              <w:autoSpaceDE w:val="0"/>
              <w:autoSpaceDN w:val="0"/>
              <w:jc w:val="center"/>
              <w:rPr>
                <w:rFonts w:ascii="Times New Roman" w:hAnsi="Times New Roman"/>
                <w:kern w:val="0"/>
                <w:sz w:val="24"/>
                <w:lang w:val="zh-CN" w:bidi="zh-CN"/>
              </w:rPr>
            </w:pPr>
            <w:r>
              <w:rPr>
                <w:rFonts w:ascii="Times New Roman" w:hAnsi="Times New Roman"/>
                <w:kern w:val="0"/>
                <w:sz w:val="24"/>
                <w:lang w:val="zh-CN" w:bidi="zh-CN"/>
              </w:rPr>
              <w:t>学校主管部门</w:t>
            </w:r>
          </w:p>
        </w:tc>
        <w:tc>
          <w:tcPr>
            <w:tcW w:w="2813" w:type="dxa"/>
            <w:gridSpan w:val="2"/>
            <w:vAlign w:val="center"/>
          </w:tcPr>
          <w:p>
            <w:pPr>
              <w:autoSpaceDE w:val="0"/>
              <w:autoSpaceDN w:val="0"/>
              <w:jc w:val="center"/>
              <w:rPr>
                <w:rFonts w:ascii="Times New Roman" w:hAnsi="Times New Roman"/>
                <w:kern w:val="0"/>
                <w:sz w:val="24"/>
                <w:lang w:bidi="zh-CN"/>
              </w:rPr>
            </w:pPr>
            <w:r>
              <w:rPr>
                <w:rFonts w:ascii="Times New Roman" w:hAnsi="Times New Roman"/>
                <w:kern w:val="0"/>
                <w:sz w:val="24"/>
                <w:lang w:bidi="zh-CN"/>
              </w:rPr>
              <w:t>广西壮族自治区</w:t>
            </w:r>
          </w:p>
        </w:tc>
        <w:tc>
          <w:tcPr>
            <w:tcW w:w="2798" w:type="dxa"/>
            <w:gridSpan w:val="3"/>
            <w:vAlign w:val="center"/>
          </w:tcPr>
          <w:p>
            <w:pPr>
              <w:autoSpaceDE w:val="0"/>
              <w:autoSpaceDN w:val="0"/>
              <w:jc w:val="center"/>
              <w:rPr>
                <w:rFonts w:ascii="Times New Roman" w:hAnsi="Times New Roman"/>
                <w:kern w:val="0"/>
                <w:sz w:val="24"/>
                <w:lang w:val="zh-CN" w:bidi="zh-CN"/>
              </w:rPr>
            </w:pPr>
            <w:r>
              <w:rPr>
                <w:rFonts w:ascii="Times New Roman" w:hAnsi="Times New Roman"/>
                <w:kern w:val="0"/>
                <w:sz w:val="24"/>
                <w:lang w:val="zh-CN" w:bidi="zh-CN"/>
              </w:rPr>
              <w:t>建校时间</w:t>
            </w:r>
          </w:p>
        </w:tc>
        <w:tc>
          <w:tcPr>
            <w:tcW w:w="2111" w:type="dxa"/>
            <w:vAlign w:val="center"/>
          </w:tcPr>
          <w:p>
            <w:pPr>
              <w:autoSpaceDE w:val="0"/>
              <w:autoSpaceDN w:val="0"/>
              <w:jc w:val="center"/>
              <w:rPr>
                <w:rFonts w:ascii="Times New Roman" w:hAnsi="Times New Roman"/>
                <w:kern w:val="0"/>
                <w:sz w:val="24"/>
                <w:lang w:bidi="zh-CN"/>
              </w:rPr>
            </w:pPr>
            <w:r>
              <w:rPr>
                <w:rFonts w:ascii="Times New Roman" w:hAnsi="Times New Roman"/>
                <w:kern w:val="0"/>
                <w:sz w:val="24"/>
                <w:lang w:bidi="zh-CN"/>
              </w:rPr>
              <w:t>1932年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1858" w:type="dxa"/>
            <w:vAlign w:val="center"/>
          </w:tcPr>
          <w:p>
            <w:pPr>
              <w:autoSpaceDE w:val="0"/>
              <w:autoSpaceDN w:val="0"/>
              <w:jc w:val="center"/>
              <w:rPr>
                <w:rFonts w:ascii="Times New Roman" w:hAnsi="Times New Roman"/>
                <w:kern w:val="0"/>
                <w:sz w:val="24"/>
                <w:lang w:val="zh-CN" w:bidi="zh-CN"/>
              </w:rPr>
            </w:pPr>
            <w:r>
              <w:rPr>
                <w:rFonts w:ascii="Times New Roman" w:hAnsi="Times New Roman"/>
                <w:kern w:val="0"/>
                <w:sz w:val="24"/>
                <w:lang w:val="zh-CN" w:bidi="zh-CN"/>
              </w:rPr>
              <w:t>首次举办本科</w:t>
            </w:r>
          </w:p>
          <w:p>
            <w:pPr>
              <w:autoSpaceDE w:val="0"/>
              <w:autoSpaceDN w:val="0"/>
              <w:jc w:val="center"/>
              <w:rPr>
                <w:rFonts w:ascii="Times New Roman" w:hAnsi="Times New Roman"/>
                <w:kern w:val="0"/>
                <w:sz w:val="24"/>
                <w:lang w:val="zh-CN" w:bidi="zh-CN"/>
              </w:rPr>
            </w:pPr>
            <w:r>
              <w:rPr>
                <w:rFonts w:ascii="Times New Roman" w:hAnsi="Times New Roman"/>
                <w:kern w:val="0"/>
                <w:sz w:val="24"/>
                <w:lang w:val="zh-CN" w:bidi="zh-CN"/>
              </w:rPr>
              <w:t>教育年份</w:t>
            </w:r>
          </w:p>
        </w:tc>
        <w:tc>
          <w:tcPr>
            <w:tcW w:w="7722" w:type="dxa"/>
            <w:gridSpan w:val="6"/>
            <w:vAlign w:val="center"/>
          </w:tcPr>
          <w:p>
            <w:pPr>
              <w:autoSpaceDE w:val="0"/>
              <w:autoSpaceDN w:val="0"/>
              <w:jc w:val="center"/>
              <w:rPr>
                <w:rFonts w:ascii="Times New Roman" w:hAnsi="Times New Roman"/>
                <w:kern w:val="0"/>
                <w:sz w:val="24"/>
                <w:lang w:val="zh-CN" w:bidi="zh-CN"/>
              </w:rPr>
            </w:pPr>
            <w:r>
              <w:rPr>
                <w:rFonts w:ascii="Times New Roman" w:hAnsi="Times New Roman"/>
                <w:kern w:val="0"/>
                <w:sz w:val="24"/>
                <w:lang w:val="zh-CN" w:bidi="zh-CN"/>
              </w:rPr>
              <w:t>1954年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1858" w:type="dxa"/>
            <w:vAlign w:val="center"/>
          </w:tcPr>
          <w:p>
            <w:pPr>
              <w:autoSpaceDE w:val="0"/>
              <w:autoSpaceDN w:val="0"/>
              <w:jc w:val="center"/>
              <w:rPr>
                <w:rFonts w:ascii="Times New Roman" w:hAnsi="Times New Roman"/>
                <w:kern w:val="0"/>
                <w:sz w:val="24"/>
                <w:lang w:val="zh-CN" w:bidi="zh-CN"/>
              </w:rPr>
            </w:pPr>
            <w:r>
              <w:rPr>
                <w:rFonts w:ascii="Times New Roman" w:hAnsi="Times New Roman"/>
                <w:kern w:val="0"/>
                <w:sz w:val="24"/>
                <w:lang w:val="zh-CN" w:bidi="zh-CN"/>
              </w:rPr>
              <w:t>曾用名</w:t>
            </w:r>
          </w:p>
        </w:tc>
        <w:tc>
          <w:tcPr>
            <w:tcW w:w="7722" w:type="dxa"/>
            <w:gridSpan w:val="6"/>
            <w:vAlign w:val="center"/>
          </w:tcPr>
          <w:p>
            <w:pPr>
              <w:autoSpaceDE w:val="0"/>
              <w:autoSpaceDN w:val="0"/>
              <w:jc w:val="center"/>
              <w:rPr>
                <w:rFonts w:ascii="Times New Roman" w:hAnsi="Times New Roman"/>
                <w:kern w:val="0"/>
                <w:sz w:val="24"/>
                <w:lang w:bidi="zh-CN"/>
              </w:rPr>
            </w:pPr>
            <w:r>
              <w:rPr>
                <w:rFonts w:ascii="Times New Roman" w:hAnsi="Times New Roman"/>
                <w:kern w:val="0"/>
                <w:sz w:val="24"/>
                <w:lang w:val="zh-CN" w:bidi="zh-CN"/>
              </w:rPr>
              <w:t>广西省立师范专科学校</w:t>
            </w:r>
            <w:r>
              <w:rPr>
                <w:rFonts w:ascii="Times New Roman" w:hAnsi="Times New Roman"/>
                <w:kern w:val="0"/>
                <w:sz w:val="24"/>
                <w:lang w:bidi="zh-CN"/>
              </w:rPr>
              <w:t>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2" w:hRule="atLeast"/>
        </w:trPr>
        <w:tc>
          <w:tcPr>
            <w:tcW w:w="1858" w:type="dxa"/>
            <w:vAlign w:val="center"/>
          </w:tcPr>
          <w:p>
            <w:pPr>
              <w:autoSpaceDE w:val="0"/>
              <w:autoSpaceDN w:val="0"/>
              <w:jc w:val="center"/>
              <w:rPr>
                <w:rFonts w:ascii="Times New Roman" w:hAnsi="Times New Roman"/>
                <w:kern w:val="0"/>
                <w:sz w:val="24"/>
                <w:lang w:val="zh-CN" w:bidi="zh-CN"/>
              </w:rPr>
            </w:pPr>
            <w:r>
              <w:rPr>
                <w:rFonts w:ascii="Times New Roman" w:hAnsi="Times New Roman"/>
                <w:kern w:val="0"/>
                <w:sz w:val="24"/>
                <w:lang w:val="zh-CN" w:bidi="zh-CN"/>
              </w:rPr>
              <w:t>学校简介和</w:t>
            </w:r>
          </w:p>
          <w:p>
            <w:pPr>
              <w:autoSpaceDE w:val="0"/>
              <w:autoSpaceDN w:val="0"/>
              <w:jc w:val="center"/>
              <w:rPr>
                <w:rFonts w:ascii="Times New Roman" w:hAnsi="Times New Roman"/>
                <w:kern w:val="0"/>
                <w:sz w:val="24"/>
                <w:lang w:val="zh-CN" w:bidi="zh-CN"/>
              </w:rPr>
            </w:pPr>
            <w:r>
              <w:rPr>
                <w:rFonts w:ascii="Times New Roman" w:hAnsi="Times New Roman"/>
                <w:kern w:val="0"/>
                <w:sz w:val="24"/>
                <w:lang w:val="zh-CN" w:bidi="zh-CN"/>
              </w:rPr>
              <w:t>历史沿革</w:t>
            </w:r>
          </w:p>
          <w:p>
            <w:pPr>
              <w:autoSpaceDE w:val="0"/>
              <w:autoSpaceDN w:val="0"/>
              <w:jc w:val="center"/>
              <w:rPr>
                <w:rFonts w:ascii="Times New Roman" w:hAnsi="Times New Roman"/>
                <w:kern w:val="0"/>
                <w:sz w:val="24"/>
                <w:lang w:val="zh-CN" w:bidi="zh-CN"/>
              </w:rPr>
            </w:pPr>
            <w:r>
              <w:rPr>
                <w:rFonts w:ascii="Times New Roman" w:hAnsi="Times New Roman"/>
                <w:kern w:val="0"/>
                <w:sz w:val="24"/>
                <w:lang w:val="zh-CN" w:bidi="zh-CN"/>
              </w:rPr>
              <w:t>（</w:t>
            </w:r>
            <w:r>
              <w:rPr>
                <w:rFonts w:ascii="Times New Roman" w:hAnsi="Times New Roman"/>
                <w:kern w:val="0"/>
                <w:sz w:val="24"/>
                <w:lang w:bidi="zh-CN"/>
              </w:rPr>
              <w:t>150</w:t>
            </w:r>
            <w:r>
              <w:rPr>
                <w:rFonts w:ascii="Times New Roman" w:hAnsi="Times New Roman"/>
                <w:kern w:val="0"/>
                <w:sz w:val="24"/>
                <w:lang w:val="zh-CN" w:bidi="zh-CN"/>
              </w:rPr>
              <w:t>字以内）</w:t>
            </w:r>
          </w:p>
        </w:tc>
        <w:tc>
          <w:tcPr>
            <w:tcW w:w="7722" w:type="dxa"/>
            <w:gridSpan w:val="6"/>
          </w:tcPr>
          <w:p>
            <w:pPr>
              <w:autoSpaceDE w:val="0"/>
              <w:autoSpaceDN w:val="0"/>
              <w:rPr>
                <w:rFonts w:ascii="Times New Roman" w:hAnsi="Times New Roman"/>
                <w:kern w:val="0"/>
                <w:sz w:val="24"/>
                <w:lang w:val="zh-CN" w:bidi="zh-CN"/>
              </w:rPr>
            </w:pPr>
            <w:r>
              <w:rPr>
                <w:rFonts w:ascii="Times New Roman" w:hAnsi="Times New Roman"/>
                <w:kern w:val="0"/>
                <w:sz w:val="24"/>
                <w:lang w:val="zh-CN" w:bidi="zh-CN"/>
              </w:rPr>
              <w:t>学校创办于1932年，是教育部与广西壮族自治区人民政府共建高校。有一级学科博士学位授权点</w:t>
            </w:r>
            <w:r>
              <w:rPr>
                <w:rFonts w:ascii="Times New Roman" w:hAnsi="Times New Roman"/>
                <w:kern w:val="0"/>
                <w:sz w:val="24"/>
                <w:lang w:bidi="zh-CN"/>
              </w:rPr>
              <w:t>10</w:t>
            </w:r>
            <w:r>
              <w:rPr>
                <w:rFonts w:ascii="Times New Roman" w:hAnsi="Times New Roman"/>
                <w:kern w:val="0"/>
                <w:sz w:val="24"/>
                <w:lang w:val="zh-CN" w:bidi="zh-CN"/>
              </w:rPr>
              <w:t>个，博士后科研流动站7个，一级学科硕士学位授权点</w:t>
            </w:r>
            <w:r>
              <w:rPr>
                <w:rFonts w:ascii="Times New Roman" w:hAnsi="Times New Roman"/>
                <w:kern w:val="0"/>
                <w:sz w:val="24"/>
                <w:lang w:bidi="zh-CN"/>
              </w:rPr>
              <w:t>30</w:t>
            </w:r>
            <w:r>
              <w:rPr>
                <w:rFonts w:ascii="Times New Roman" w:hAnsi="Times New Roman"/>
                <w:kern w:val="0"/>
                <w:sz w:val="24"/>
                <w:lang w:val="zh-CN" w:bidi="zh-CN"/>
              </w:rPr>
              <w:t>个；</w:t>
            </w:r>
            <w:r>
              <w:rPr>
                <w:rFonts w:ascii="Times New Roman" w:hAnsi="Times New Roman"/>
                <w:kern w:val="0"/>
                <w:sz w:val="24"/>
                <w:lang w:bidi="zh-CN"/>
              </w:rPr>
              <w:t>教育部虚拟教研室建设试点2个，</w:t>
            </w:r>
            <w:r>
              <w:rPr>
                <w:rFonts w:ascii="Times New Roman" w:hAnsi="Times New Roman"/>
                <w:kern w:val="0"/>
                <w:sz w:val="24"/>
                <w:lang w:val="zh-CN" w:bidi="zh-CN"/>
              </w:rPr>
              <w:t>教育部重点实验室3个，省部共建国家重点实验室</w:t>
            </w:r>
            <w:r>
              <w:rPr>
                <w:rFonts w:ascii="Times New Roman" w:hAnsi="Times New Roman"/>
                <w:kern w:val="0"/>
                <w:sz w:val="24"/>
                <w:lang w:bidi="zh-CN"/>
              </w:rPr>
              <w:t>1个；</w:t>
            </w:r>
            <w:r>
              <w:rPr>
                <w:rFonts w:ascii="Times New Roman" w:hAnsi="Times New Roman"/>
                <w:kern w:val="0"/>
                <w:sz w:val="24"/>
                <w:lang w:val="zh-CN" w:bidi="zh-CN"/>
              </w:rPr>
              <w:t>国家级一流本科专业建设点23个，</w:t>
            </w:r>
            <w:r>
              <w:rPr>
                <w:rFonts w:ascii="Times New Roman" w:hAnsi="Times New Roman"/>
                <w:kern w:val="0"/>
                <w:sz w:val="24"/>
                <w:lang w:bidi="zh-CN"/>
              </w:rPr>
              <w:t>国家级一流课程</w:t>
            </w:r>
            <w:r>
              <w:rPr>
                <w:rFonts w:hint="eastAsia" w:ascii="Times New Roman" w:hAnsi="Times New Roman"/>
                <w:kern w:val="0"/>
                <w:sz w:val="24"/>
                <w:lang w:bidi="zh-CN"/>
              </w:rPr>
              <w:t>37</w:t>
            </w:r>
            <w:r>
              <w:rPr>
                <w:rFonts w:ascii="Times New Roman" w:hAnsi="Times New Roman"/>
                <w:kern w:val="0"/>
                <w:sz w:val="24"/>
                <w:lang w:bidi="zh-CN"/>
              </w:rPr>
              <w:t>门，获</w:t>
            </w:r>
            <w:r>
              <w:rPr>
                <w:rFonts w:ascii="Times New Roman" w:hAnsi="Times New Roman"/>
                <w:kern w:val="0"/>
                <w:sz w:val="24"/>
                <w:lang w:val="zh-CN" w:bidi="zh-CN"/>
              </w:rPr>
              <w:t>国家级教学成果奖</w:t>
            </w:r>
            <w:r>
              <w:rPr>
                <w:rFonts w:ascii="Times New Roman" w:hAnsi="Times New Roman"/>
                <w:kern w:val="0"/>
                <w:sz w:val="24"/>
                <w:lang w:bidi="zh-CN"/>
              </w:rPr>
              <w:t>16</w:t>
            </w:r>
            <w:r>
              <w:rPr>
                <w:rFonts w:ascii="Times New Roman" w:hAnsi="Times New Roman"/>
                <w:kern w:val="0"/>
                <w:sz w:val="24"/>
                <w:lang w:val="zh-CN" w:bidi="zh-CN"/>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trPr>
        <w:tc>
          <w:tcPr>
            <w:tcW w:w="1858" w:type="dxa"/>
            <w:vAlign w:val="center"/>
          </w:tcPr>
          <w:p>
            <w:pPr>
              <w:autoSpaceDE w:val="0"/>
              <w:autoSpaceDN w:val="0"/>
              <w:jc w:val="center"/>
              <w:rPr>
                <w:rFonts w:ascii="Times New Roman" w:hAnsi="Times New Roman"/>
                <w:kern w:val="0"/>
                <w:sz w:val="24"/>
                <w:lang w:val="zh-CN" w:bidi="zh-CN"/>
              </w:rPr>
            </w:pPr>
            <w:r>
              <w:rPr>
                <w:rFonts w:ascii="Times New Roman" w:hAnsi="Times New Roman"/>
                <w:kern w:val="0"/>
                <w:sz w:val="24"/>
                <w:lang w:val="zh-CN" w:bidi="zh-CN"/>
              </w:rPr>
              <w:t>学校近五年</w:t>
            </w:r>
          </w:p>
          <w:p>
            <w:pPr>
              <w:autoSpaceDE w:val="0"/>
              <w:autoSpaceDN w:val="0"/>
              <w:jc w:val="center"/>
              <w:rPr>
                <w:rFonts w:ascii="Times New Roman" w:hAnsi="Times New Roman"/>
                <w:kern w:val="0"/>
                <w:sz w:val="24"/>
                <w:lang w:val="zh-CN" w:bidi="zh-CN"/>
              </w:rPr>
            </w:pPr>
            <w:r>
              <w:rPr>
                <w:rFonts w:ascii="Times New Roman" w:hAnsi="Times New Roman"/>
                <w:kern w:val="0"/>
                <w:sz w:val="24"/>
                <w:lang w:val="zh-CN" w:bidi="zh-CN"/>
              </w:rPr>
              <w:t>专业增设、停招、撤并情况（300字以内）</w:t>
            </w:r>
          </w:p>
        </w:tc>
        <w:tc>
          <w:tcPr>
            <w:tcW w:w="7722" w:type="dxa"/>
            <w:gridSpan w:val="6"/>
          </w:tcPr>
          <w:p>
            <w:pPr>
              <w:autoSpaceDE w:val="0"/>
              <w:autoSpaceDN w:val="0"/>
              <w:rPr>
                <w:rFonts w:ascii="Times New Roman" w:hAnsi="Times New Roman"/>
                <w:kern w:val="0"/>
                <w:sz w:val="24"/>
                <w:lang w:val="zh-CN" w:bidi="zh-CN"/>
              </w:rPr>
            </w:pPr>
            <w:bookmarkStart w:id="0" w:name="OLE_LINK20"/>
            <w:bookmarkStart w:id="1" w:name="OLE_LINK19"/>
            <w:r>
              <w:rPr>
                <w:rFonts w:ascii="Times New Roman" w:hAnsi="Times New Roman"/>
                <w:kern w:val="0"/>
                <w:sz w:val="24"/>
                <w:lang w:val="zh-CN" w:bidi="zh-CN"/>
              </w:rPr>
              <w:t>近五年增设专业</w:t>
            </w:r>
            <w:r>
              <w:rPr>
                <w:rFonts w:ascii="Times New Roman" w:hAnsi="Times New Roman"/>
                <w:kern w:val="0"/>
                <w:sz w:val="24"/>
                <w:lang w:bidi="zh-CN"/>
              </w:rPr>
              <w:t>9</w:t>
            </w:r>
            <w:r>
              <w:rPr>
                <w:rFonts w:ascii="Times New Roman" w:hAnsi="Times New Roman"/>
                <w:kern w:val="0"/>
                <w:sz w:val="24"/>
                <w:lang w:val="zh-CN" w:bidi="zh-CN"/>
              </w:rPr>
              <w:t>个：新能源汽车工程、智能制造工程、教育学、足球运动、工业设计、人工智能教育、越南语、光电信息科学与工程、环境科学与工程。</w:t>
            </w:r>
          </w:p>
          <w:p>
            <w:pPr>
              <w:autoSpaceDE w:val="0"/>
              <w:autoSpaceDN w:val="0"/>
              <w:rPr>
                <w:rFonts w:ascii="Times New Roman" w:hAnsi="Times New Roman"/>
                <w:kern w:val="0"/>
                <w:sz w:val="24"/>
                <w:lang w:val="zh-CN" w:bidi="zh-CN"/>
              </w:rPr>
            </w:pPr>
            <w:r>
              <w:rPr>
                <w:rFonts w:ascii="Times New Roman" w:hAnsi="Times New Roman"/>
                <w:kern w:val="0"/>
                <w:sz w:val="24"/>
                <w:lang w:val="zh-CN" w:bidi="zh-CN"/>
              </w:rPr>
              <w:t>近五年撤销专业</w:t>
            </w:r>
            <w:r>
              <w:rPr>
                <w:rFonts w:ascii="Times New Roman" w:hAnsi="Times New Roman"/>
                <w:kern w:val="0"/>
                <w:sz w:val="24"/>
                <w:lang w:bidi="zh-CN"/>
              </w:rPr>
              <w:t>16</w:t>
            </w:r>
            <w:r>
              <w:rPr>
                <w:rFonts w:ascii="Times New Roman" w:hAnsi="Times New Roman"/>
                <w:kern w:val="0"/>
                <w:sz w:val="24"/>
                <w:lang w:val="zh-CN" w:bidi="zh-CN"/>
              </w:rPr>
              <w:t>个：汽车服务工程、机械设计制造及其自动化、公共事业管理、应用统计学、工业设计、公共艺术、社会学、音乐表演、信息管理与信息系统、秘书学、商务英语、人力资源管理、健康服务与管理、酒店管理、产品设计、工艺美术。</w:t>
            </w:r>
            <w:bookmarkEnd w:id="0"/>
            <w:bookmarkEnd w:id="1"/>
          </w:p>
        </w:tc>
      </w:tr>
    </w:tbl>
    <w:p>
      <w:pPr>
        <w:autoSpaceDE w:val="0"/>
        <w:autoSpaceDN w:val="0"/>
        <w:jc w:val="right"/>
        <w:rPr>
          <w:kern w:val="0"/>
          <w:sz w:val="24"/>
          <w:szCs w:val="22"/>
          <w:lang w:val="zh-CN" w:bidi="zh-CN"/>
        </w:rPr>
        <w:sectPr>
          <w:footerReference r:id="rId5" w:type="default"/>
          <w:footnotePr>
            <w:numFmt w:val="decimalEnclosedCircleChinese"/>
            <w:numRestart w:val="eachPage"/>
          </w:footnotePr>
          <w:pgSz w:w="11906" w:h="16838"/>
          <w:pgMar w:top="2098" w:right="1474" w:bottom="1984" w:left="1588" w:header="851" w:footer="1559" w:gutter="0"/>
          <w:pgNumType w:start="1"/>
          <w:cols w:space="720" w:num="1"/>
          <w:docGrid w:linePitch="1" w:charSpace="0"/>
        </w:sectPr>
      </w:pPr>
    </w:p>
    <w:p>
      <w:pPr>
        <w:tabs>
          <w:tab w:val="left" w:pos="3636"/>
        </w:tabs>
        <w:autoSpaceDE w:val="0"/>
        <w:autoSpaceDN w:val="0"/>
        <w:spacing w:before="20"/>
        <w:ind w:right="254"/>
        <w:jc w:val="center"/>
        <w:rPr>
          <w:rFonts w:hint="eastAsia" w:ascii="黑体" w:hAnsi="黑体" w:eastAsia="黑体"/>
          <w:kern w:val="0"/>
          <w:sz w:val="32"/>
          <w:szCs w:val="32"/>
          <w:lang w:bidi="zh-CN"/>
        </w:rPr>
      </w:pPr>
      <w:r>
        <w:rPr>
          <w:rFonts w:ascii="Times New Roman" w:hAnsi="Times New Roman" w:eastAsia="黑体"/>
          <w:kern w:val="0"/>
          <w:sz w:val="32"/>
          <w:szCs w:val="32"/>
          <w:lang w:val="zh-CN" w:bidi="zh-CN"/>
        </w:rPr>
        <w:t>2</w:t>
      </w:r>
      <w:r>
        <w:rPr>
          <w:rFonts w:ascii="黑体" w:hAnsi="黑体" w:eastAsia="黑体"/>
          <w:kern w:val="0"/>
          <w:sz w:val="32"/>
          <w:szCs w:val="32"/>
          <w:lang w:val="zh-CN" w:bidi="zh-CN"/>
        </w:rPr>
        <w:t>.申报专业基本情况</w:t>
      </w:r>
    </w:p>
    <w:p>
      <w:pPr>
        <w:autoSpaceDE w:val="0"/>
        <w:autoSpaceDN w:val="0"/>
        <w:spacing w:before="4"/>
        <w:jc w:val="left"/>
        <w:rPr>
          <w:rFonts w:eastAsia="黑体"/>
          <w:kern w:val="0"/>
          <w:sz w:val="6"/>
          <w:szCs w:val="36"/>
          <w:lang w:val="zh-CN" w:bidi="zh-CN"/>
        </w:rPr>
      </w:pPr>
    </w:p>
    <w:tbl>
      <w:tblPr>
        <w:tblStyle w:val="40"/>
        <w:tblW w:w="956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93"/>
        <w:gridCol w:w="2390"/>
        <w:gridCol w:w="1986"/>
        <w:gridCol w:w="405"/>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2393" w:type="dxa"/>
            <w:vAlign w:val="center"/>
          </w:tcPr>
          <w:p>
            <w:pPr>
              <w:autoSpaceDE w:val="0"/>
              <w:autoSpaceDN w:val="0"/>
              <w:spacing w:before="16" w:line="282" w:lineRule="exact"/>
              <w:ind w:left="94" w:right="88"/>
              <w:jc w:val="center"/>
              <w:rPr>
                <w:rFonts w:hint="eastAsia" w:ascii="宋体" w:hAnsi="宋体"/>
                <w:kern w:val="0"/>
                <w:sz w:val="24"/>
                <w:lang w:val="zh-CN" w:bidi="zh-CN"/>
              </w:rPr>
            </w:pPr>
            <w:r>
              <w:rPr>
                <w:rFonts w:ascii="宋体" w:hAnsi="宋体"/>
                <w:kern w:val="0"/>
                <w:sz w:val="24"/>
                <w:lang w:val="zh-CN" w:bidi="zh-CN"/>
              </w:rPr>
              <w:t>专业代码</w:t>
            </w:r>
          </w:p>
        </w:tc>
        <w:tc>
          <w:tcPr>
            <w:tcW w:w="2390" w:type="dxa"/>
            <w:vAlign w:val="center"/>
          </w:tcPr>
          <w:p>
            <w:pPr>
              <w:autoSpaceDE w:val="0"/>
              <w:autoSpaceDN w:val="0"/>
              <w:jc w:val="center"/>
              <w:rPr>
                <w:rFonts w:hint="eastAsia" w:ascii="宋体" w:hAnsi="宋体"/>
                <w:kern w:val="0"/>
                <w:sz w:val="24"/>
                <w:lang w:val="zh-CN" w:bidi="zh-CN"/>
              </w:rPr>
            </w:pPr>
            <w:r>
              <w:rPr>
                <w:rFonts w:ascii="宋体" w:hAnsi="宋体"/>
                <w:kern w:val="0"/>
                <w:sz w:val="24"/>
                <w:lang w:val="zh-CN" w:bidi="zh-CN"/>
              </w:rPr>
              <w:t>020109T</w:t>
            </w:r>
          </w:p>
        </w:tc>
        <w:tc>
          <w:tcPr>
            <w:tcW w:w="2391" w:type="dxa"/>
            <w:gridSpan w:val="2"/>
            <w:vAlign w:val="center"/>
          </w:tcPr>
          <w:p>
            <w:pPr>
              <w:autoSpaceDE w:val="0"/>
              <w:autoSpaceDN w:val="0"/>
              <w:spacing w:before="16" w:line="282" w:lineRule="exact"/>
              <w:jc w:val="center"/>
              <w:rPr>
                <w:rFonts w:hint="eastAsia" w:ascii="宋体" w:hAnsi="宋体"/>
                <w:kern w:val="0"/>
                <w:sz w:val="24"/>
                <w:lang w:val="zh-CN" w:bidi="zh-CN"/>
              </w:rPr>
            </w:pPr>
            <w:r>
              <w:rPr>
                <w:rFonts w:ascii="宋体" w:hAnsi="宋体"/>
                <w:kern w:val="0"/>
                <w:sz w:val="24"/>
                <w:lang w:val="zh-CN" w:bidi="zh-CN"/>
              </w:rPr>
              <w:t>专业名称</w:t>
            </w:r>
          </w:p>
        </w:tc>
        <w:tc>
          <w:tcPr>
            <w:tcW w:w="2394" w:type="dxa"/>
            <w:vAlign w:val="center"/>
          </w:tcPr>
          <w:p>
            <w:pPr>
              <w:autoSpaceDE w:val="0"/>
              <w:autoSpaceDN w:val="0"/>
              <w:jc w:val="center"/>
              <w:rPr>
                <w:rFonts w:hint="eastAsia" w:ascii="宋体" w:hAnsi="宋体"/>
                <w:kern w:val="0"/>
                <w:sz w:val="24"/>
                <w:lang w:val="zh-CN" w:bidi="zh-CN"/>
              </w:rPr>
            </w:pPr>
            <w:r>
              <w:rPr>
                <w:rFonts w:hint="eastAsia" w:ascii="宋体" w:hAnsi="宋体"/>
                <w:kern w:val="0"/>
                <w:sz w:val="24"/>
                <w:lang w:val="zh-CN" w:bidi="zh-CN"/>
              </w:rPr>
              <w:t>数字经济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2393" w:type="dxa"/>
            <w:vAlign w:val="center"/>
          </w:tcPr>
          <w:p>
            <w:pPr>
              <w:autoSpaceDE w:val="0"/>
              <w:autoSpaceDN w:val="0"/>
              <w:spacing w:before="16" w:line="285" w:lineRule="exact"/>
              <w:ind w:left="94" w:right="88"/>
              <w:jc w:val="center"/>
              <w:rPr>
                <w:rFonts w:hint="eastAsia" w:ascii="宋体" w:hAnsi="宋体"/>
                <w:kern w:val="0"/>
                <w:sz w:val="24"/>
                <w:lang w:val="zh-CN" w:bidi="zh-CN"/>
              </w:rPr>
            </w:pPr>
            <w:r>
              <w:rPr>
                <w:rFonts w:ascii="宋体" w:hAnsi="宋体"/>
                <w:kern w:val="0"/>
                <w:sz w:val="24"/>
                <w:lang w:val="zh-CN" w:bidi="zh-CN"/>
              </w:rPr>
              <w:t>学位</w:t>
            </w:r>
          </w:p>
        </w:tc>
        <w:tc>
          <w:tcPr>
            <w:tcW w:w="2390" w:type="dxa"/>
            <w:vAlign w:val="center"/>
          </w:tcPr>
          <w:p>
            <w:pPr>
              <w:autoSpaceDE w:val="0"/>
              <w:autoSpaceDN w:val="0"/>
              <w:jc w:val="center"/>
              <w:rPr>
                <w:rFonts w:hint="eastAsia" w:ascii="宋体" w:hAnsi="宋体"/>
                <w:kern w:val="0"/>
                <w:sz w:val="24"/>
                <w:lang w:val="zh-CN" w:bidi="zh-CN"/>
              </w:rPr>
            </w:pPr>
            <w:r>
              <w:rPr>
                <w:rFonts w:hint="eastAsia" w:ascii="宋体" w:hAnsi="宋体"/>
                <w:kern w:val="0"/>
                <w:sz w:val="24"/>
                <w:lang w:val="zh-CN" w:bidi="zh-CN"/>
              </w:rPr>
              <w:t>经济学</w:t>
            </w:r>
          </w:p>
        </w:tc>
        <w:tc>
          <w:tcPr>
            <w:tcW w:w="2391" w:type="dxa"/>
            <w:gridSpan w:val="2"/>
            <w:vAlign w:val="center"/>
          </w:tcPr>
          <w:p>
            <w:pPr>
              <w:autoSpaceDE w:val="0"/>
              <w:autoSpaceDN w:val="0"/>
              <w:spacing w:before="16" w:line="285" w:lineRule="exact"/>
              <w:jc w:val="center"/>
              <w:rPr>
                <w:rFonts w:hint="eastAsia" w:ascii="宋体" w:hAnsi="宋体"/>
                <w:kern w:val="0"/>
                <w:sz w:val="24"/>
                <w:lang w:val="zh-CN" w:bidi="zh-CN"/>
              </w:rPr>
            </w:pPr>
            <w:r>
              <w:rPr>
                <w:rFonts w:ascii="宋体" w:hAnsi="宋体"/>
                <w:kern w:val="0"/>
                <w:sz w:val="24"/>
                <w:lang w:val="zh-CN" w:bidi="zh-CN"/>
              </w:rPr>
              <w:t>修业年限</w:t>
            </w:r>
          </w:p>
        </w:tc>
        <w:tc>
          <w:tcPr>
            <w:tcW w:w="2394" w:type="dxa"/>
            <w:vAlign w:val="center"/>
          </w:tcPr>
          <w:p>
            <w:pPr>
              <w:autoSpaceDE w:val="0"/>
              <w:autoSpaceDN w:val="0"/>
              <w:jc w:val="center"/>
              <w:rPr>
                <w:rFonts w:hint="eastAsia" w:ascii="宋体" w:hAnsi="宋体"/>
                <w:kern w:val="0"/>
                <w:sz w:val="24"/>
                <w:lang w:val="zh-CN" w:bidi="zh-CN"/>
              </w:rPr>
            </w:pPr>
            <w:r>
              <w:rPr>
                <w:rFonts w:hint="eastAsia" w:ascii="宋体" w:hAnsi="宋体"/>
                <w:kern w:val="0"/>
                <w:sz w:val="24"/>
                <w:lang w:val="zh-CN" w:bidi="zh-CN"/>
              </w:rPr>
              <w:t>四年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2393" w:type="dxa"/>
            <w:vAlign w:val="center"/>
          </w:tcPr>
          <w:p>
            <w:pPr>
              <w:autoSpaceDE w:val="0"/>
              <w:autoSpaceDN w:val="0"/>
              <w:spacing w:before="16" w:line="282" w:lineRule="exact"/>
              <w:ind w:left="94" w:right="88"/>
              <w:jc w:val="center"/>
              <w:rPr>
                <w:rFonts w:hint="eastAsia" w:ascii="宋体" w:hAnsi="宋体"/>
                <w:kern w:val="0"/>
                <w:sz w:val="24"/>
                <w:lang w:val="zh-CN" w:bidi="zh-CN"/>
              </w:rPr>
            </w:pPr>
            <w:r>
              <w:rPr>
                <w:rFonts w:ascii="宋体" w:hAnsi="宋体"/>
                <w:kern w:val="0"/>
                <w:sz w:val="24"/>
                <w:lang w:val="zh-CN" w:bidi="zh-CN"/>
              </w:rPr>
              <w:t>专业类</w:t>
            </w:r>
          </w:p>
        </w:tc>
        <w:tc>
          <w:tcPr>
            <w:tcW w:w="2390" w:type="dxa"/>
            <w:vAlign w:val="center"/>
          </w:tcPr>
          <w:p>
            <w:pPr>
              <w:autoSpaceDE w:val="0"/>
              <w:autoSpaceDN w:val="0"/>
              <w:jc w:val="center"/>
              <w:rPr>
                <w:rFonts w:hint="eastAsia" w:ascii="宋体" w:hAnsi="宋体"/>
                <w:kern w:val="0"/>
                <w:sz w:val="24"/>
                <w:lang w:val="zh-CN" w:bidi="zh-CN"/>
              </w:rPr>
            </w:pPr>
            <w:r>
              <w:rPr>
                <w:rFonts w:hint="eastAsia" w:ascii="宋体" w:hAnsi="宋体"/>
                <w:kern w:val="0"/>
                <w:sz w:val="24"/>
                <w:lang w:val="zh-CN" w:bidi="zh-CN"/>
              </w:rPr>
              <w:t>经济学类</w:t>
            </w:r>
          </w:p>
        </w:tc>
        <w:tc>
          <w:tcPr>
            <w:tcW w:w="2391" w:type="dxa"/>
            <w:gridSpan w:val="2"/>
            <w:vAlign w:val="center"/>
          </w:tcPr>
          <w:p>
            <w:pPr>
              <w:autoSpaceDE w:val="0"/>
              <w:autoSpaceDN w:val="0"/>
              <w:spacing w:before="16" w:line="282" w:lineRule="exact"/>
              <w:jc w:val="center"/>
              <w:rPr>
                <w:rFonts w:hint="eastAsia" w:ascii="宋体" w:hAnsi="宋体"/>
                <w:kern w:val="0"/>
                <w:sz w:val="24"/>
                <w:lang w:val="zh-CN" w:bidi="zh-CN"/>
              </w:rPr>
            </w:pPr>
            <w:r>
              <w:rPr>
                <w:rFonts w:ascii="宋体" w:hAnsi="宋体"/>
                <w:kern w:val="0"/>
                <w:sz w:val="24"/>
                <w:lang w:val="zh-CN" w:bidi="zh-CN"/>
              </w:rPr>
              <w:t>专业类代码</w:t>
            </w:r>
          </w:p>
        </w:tc>
        <w:tc>
          <w:tcPr>
            <w:tcW w:w="2394" w:type="dxa"/>
            <w:vAlign w:val="center"/>
          </w:tcPr>
          <w:p>
            <w:pPr>
              <w:autoSpaceDE w:val="0"/>
              <w:autoSpaceDN w:val="0"/>
              <w:jc w:val="center"/>
              <w:rPr>
                <w:rFonts w:hint="eastAsia" w:ascii="宋体" w:hAnsi="宋体"/>
                <w:kern w:val="0"/>
                <w:sz w:val="24"/>
                <w:lang w:val="zh-CN" w:bidi="zh-CN"/>
              </w:rPr>
            </w:pPr>
            <w:r>
              <w:rPr>
                <w:rFonts w:hint="eastAsia" w:ascii="宋体" w:hAnsi="宋体"/>
                <w:kern w:val="0"/>
                <w:sz w:val="24"/>
                <w:lang w:val="zh-CN" w:bidi="zh-CN"/>
              </w:rPr>
              <w:t>0201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2393" w:type="dxa"/>
            <w:vAlign w:val="center"/>
          </w:tcPr>
          <w:p>
            <w:pPr>
              <w:autoSpaceDE w:val="0"/>
              <w:autoSpaceDN w:val="0"/>
              <w:spacing w:before="16" w:line="285" w:lineRule="exact"/>
              <w:ind w:left="94" w:right="88"/>
              <w:jc w:val="center"/>
              <w:rPr>
                <w:rFonts w:hint="eastAsia" w:ascii="宋体" w:hAnsi="宋体"/>
                <w:kern w:val="0"/>
                <w:sz w:val="24"/>
                <w:lang w:val="zh-CN" w:bidi="zh-CN"/>
              </w:rPr>
            </w:pPr>
            <w:r>
              <w:rPr>
                <w:rFonts w:ascii="宋体" w:hAnsi="宋体"/>
                <w:kern w:val="0"/>
                <w:sz w:val="24"/>
                <w:lang w:val="zh-CN" w:bidi="zh-CN"/>
              </w:rPr>
              <w:t>门类</w:t>
            </w:r>
          </w:p>
        </w:tc>
        <w:tc>
          <w:tcPr>
            <w:tcW w:w="2390" w:type="dxa"/>
            <w:vAlign w:val="center"/>
          </w:tcPr>
          <w:p>
            <w:pPr>
              <w:autoSpaceDE w:val="0"/>
              <w:autoSpaceDN w:val="0"/>
              <w:jc w:val="center"/>
              <w:rPr>
                <w:rFonts w:hint="eastAsia" w:ascii="宋体" w:hAnsi="宋体"/>
                <w:kern w:val="0"/>
                <w:sz w:val="24"/>
                <w:lang w:val="zh-CN" w:bidi="zh-CN"/>
              </w:rPr>
            </w:pPr>
            <w:r>
              <w:rPr>
                <w:rFonts w:hint="eastAsia" w:ascii="宋体" w:hAnsi="宋体"/>
                <w:kern w:val="0"/>
                <w:sz w:val="24"/>
                <w:lang w:val="zh-CN" w:bidi="zh-CN"/>
              </w:rPr>
              <w:t>经济学</w:t>
            </w:r>
          </w:p>
        </w:tc>
        <w:tc>
          <w:tcPr>
            <w:tcW w:w="2391" w:type="dxa"/>
            <w:gridSpan w:val="2"/>
            <w:vAlign w:val="center"/>
          </w:tcPr>
          <w:p>
            <w:pPr>
              <w:autoSpaceDE w:val="0"/>
              <w:autoSpaceDN w:val="0"/>
              <w:spacing w:before="16" w:line="285" w:lineRule="exact"/>
              <w:jc w:val="center"/>
              <w:rPr>
                <w:rFonts w:hint="eastAsia" w:ascii="宋体" w:hAnsi="宋体"/>
                <w:kern w:val="0"/>
                <w:sz w:val="24"/>
                <w:lang w:val="zh-CN" w:bidi="zh-CN"/>
              </w:rPr>
            </w:pPr>
            <w:r>
              <w:rPr>
                <w:rFonts w:ascii="宋体" w:hAnsi="宋体"/>
                <w:kern w:val="0"/>
                <w:sz w:val="24"/>
                <w:lang w:val="zh-CN" w:bidi="zh-CN"/>
              </w:rPr>
              <w:t>门类代码</w:t>
            </w:r>
          </w:p>
        </w:tc>
        <w:tc>
          <w:tcPr>
            <w:tcW w:w="2394" w:type="dxa"/>
            <w:vAlign w:val="center"/>
          </w:tcPr>
          <w:p>
            <w:pPr>
              <w:autoSpaceDE w:val="0"/>
              <w:autoSpaceDN w:val="0"/>
              <w:jc w:val="center"/>
              <w:rPr>
                <w:rFonts w:hint="eastAsia" w:ascii="宋体" w:hAnsi="宋体"/>
                <w:kern w:val="0"/>
                <w:sz w:val="24"/>
                <w:lang w:val="zh-CN" w:bidi="zh-CN"/>
              </w:rPr>
            </w:pPr>
            <w:r>
              <w:rPr>
                <w:rFonts w:hint="eastAsia" w:ascii="宋体" w:hAnsi="宋体"/>
                <w:kern w:val="0"/>
                <w:sz w:val="24"/>
                <w:lang w:val="zh-CN" w:bidi="zh-CN"/>
              </w:rPr>
              <w:t>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2393" w:type="dxa"/>
            <w:vAlign w:val="center"/>
          </w:tcPr>
          <w:p>
            <w:pPr>
              <w:autoSpaceDE w:val="0"/>
              <w:autoSpaceDN w:val="0"/>
              <w:spacing w:before="16" w:line="282" w:lineRule="exact"/>
              <w:ind w:left="95" w:right="88"/>
              <w:jc w:val="center"/>
              <w:rPr>
                <w:rFonts w:hint="eastAsia" w:ascii="宋体" w:hAnsi="宋体"/>
                <w:kern w:val="0"/>
                <w:sz w:val="24"/>
                <w:lang w:val="zh-CN" w:bidi="zh-CN"/>
              </w:rPr>
            </w:pPr>
            <w:r>
              <w:rPr>
                <w:rFonts w:ascii="宋体" w:hAnsi="宋体"/>
                <w:kern w:val="0"/>
                <w:sz w:val="24"/>
                <w:lang w:val="zh-CN" w:bidi="zh-CN"/>
              </w:rPr>
              <w:t>所在院系名称</w:t>
            </w:r>
          </w:p>
        </w:tc>
        <w:tc>
          <w:tcPr>
            <w:tcW w:w="7175" w:type="dxa"/>
            <w:gridSpan w:val="4"/>
            <w:vAlign w:val="center"/>
          </w:tcPr>
          <w:p>
            <w:pPr>
              <w:autoSpaceDE w:val="0"/>
              <w:autoSpaceDN w:val="0"/>
              <w:jc w:val="center"/>
              <w:rPr>
                <w:rFonts w:hint="eastAsia" w:ascii="宋体" w:hAnsi="宋体"/>
                <w:kern w:val="0"/>
                <w:sz w:val="24"/>
                <w:lang w:bidi="zh-CN"/>
              </w:rPr>
            </w:pPr>
            <w:r>
              <w:rPr>
                <w:rFonts w:hint="eastAsia" w:ascii="宋体" w:hAnsi="宋体"/>
                <w:kern w:val="0"/>
                <w:sz w:val="24"/>
                <w:lang w:bidi="zh-CN"/>
              </w:rPr>
              <w:t>经济管理学院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9568" w:type="dxa"/>
            <w:gridSpan w:val="5"/>
            <w:vAlign w:val="center"/>
          </w:tcPr>
          <w:p>
            <w:pPr>
              <w:autoSpaceDE w:val="0"/>
              <w:autoSpaceDN w:val="0"/>
              <w:spacing w:before="16" w:line="285" w:lineRule="exact"/>
              <w:ind w:left="3803" w:right="3794"/>
              <w:jc w:val="center"/>
              <w:rPr>
                <w:rFonts w:hint="eastAsia" w:ascii="宋体" w:hAnsi="宋体"/>
                <w:kern w:val="0"/>
                <w:sz w:val="24"/>
                <w:lang w:val="zh-CN" w:bidi="zh-CN"/>
              </w:rPr>
            </w:pPr>
            <w:r>
              <w:rPr>
                <w:rFonts w:ascii="宋体" w:hAnsi="宋体"/>
                <w:kern w:val="0"/>
                <w:sz w:val="24"/>
                <w:lang w:val="zh-CN" w:bidi="zh-CN"/>
              </w:rPr>
              <w:t>学校相近专业情况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exact"/>
          <w:jc w:val="center"/>
        </w:trPr>
        <w:tc>
          <w:tcPr>
            <w:tcW w:w="2393" w:type="dxa"/>
            <w:vAlign w:val="center"/>
          </w:tcPr>
          <w:p>
            <w:pPr>
              <w:autoSpaceDE w:val="0"/>
              <w:autoSpaceDN w:val="0"/>
              <w:jc w:val="center"/>
              <w:rPr>
                <w:rFonts w:hint="eastAsia" w:ascii="宋体" w:hAnsi="宋体"/>
                <w:kern w:val="0"/>
                <w:sz w:val="24"/>
                <w:lang w:val="zh-CN" w:bidi="zh-CN"/>
              </w:rPr>
            </w:pPr>
            <w:r>
              <w:rPr>
                <w:rFonts w:ascii="宋体" w:hAnsi="宋体"/>
                <w:kern w:val="0"/>
                <w:sz w:val="24"/>
                <w:lang w:val="zh-CN" w:bidi="zh-CN"/>
              </w:rPr>
              <w:t xml:space="preserve">相近专业 </w:t>
            </w:r>
            <w:r>
              <w:rPr>
                <w:rFonts w:ascii="Times New Roman" w:hAnsi="Times New Roman"/>
                <w:kern w:val="0"/>
                <w:sz w:val="24"/>
                <w:lang w:val="zh-CN" w:bidi="zh-CN"/>
              </w:rPr>
              <w:t>1</w:t>
            </w:r>
          </w:p>
        </w:tc>
        <w:tc>
          <w:tcPr>
            <w:tcW w:w="2390" w:type="dxa"/>
            <w:vAlign w:val="center"/>
          </w:tcPr>
          <w:p>
            <w:pPr>
              <w:autoSpaceDE w:val="0"/>
              <w:autoSpaceDN w:val="0"/>
              <w:jc w:val="center"/>
              <w:rPr>
                <w:rFonts w:hint="eastAsia" w:ascii="宋体" w:hAnsi="宋体"/>
                <w:kern w:val="0"/>
                <w:sz w:val="24"/>
                <w:lang w:val="zh-CN" w:bidi="zh-CN"/>
              </w:rPr>
            </w:pPr>
            <w:r>
              <w:rPr>
                <w:rFonts w:hint="eastAsia" w:ascii="宋体" w:hAnsi="宋体"/>
                <w:kern w:val="0"/>
                <w:sz w:val="24"/>
                <w:lang w:val="zh-CN" w:bidi="zh-CN"/>
              </w:rPr>
              <w:t>经济学</w:t>
            </w:r>
          </w:p>
        </w:tc>
        <w:tc>
          <w:tcPr>
            <w:tcW w:w="1986" w:type="dxa"/>
            <w:vAlign w:val="center"/>
          </w:tcPr>
          <w:p>
            <w:pPr>
              <w:autoSpaceDE w:val="0"/>
              <w:autoSpaceDN w:val="0"/>
              <w:jc w:val="center"/>
              <w:rPr>
                <w:rFonts w:hint="eastAsia" w:ascii="宋体" w:hAnsi="宋体"/>
                <w:kern w:val="0"/>
                <w:sz w:val="24"/>
                <w:lang w:val="zh-CN" w:bidi="zh-CN"/>
              </w:rPr>
            </w:pPr>
            <w:r>
              <w:rPr>
                <w:rFonts w:ascii="宋体" w:hAnsi="宋体"/>
                <w:kern w:val="0"/>
                <w:sz w:val="24"/>
                <w:lang w:val="zh-CN" w:bidi="zh-CN"/>
              </w:rPr>
              <w:t>开设年份</w:t>
            </w:r>
          </w:p>
        </w:tc>
        <w:tc>
          <w:tcPr>
            <w:tcW w:w="2799" w:type="dxa"/>
            <w:gridSpan w:val="2"/>
            <w:vAlign w:val="center"/>
          </w:tcPr>
          <w:p>
            <w:pPr>
              <w:autoSpaceDE w:val="0"/>
              <w:autoSpaceDN w:val="0"/>
              <w:spacing w:before="12" w:line="282" w:lineRule="exact"/>
              <w:ind w:left="90" w:right="19"/>
              <w:jc w:val="center"/>
              <w:rPr>
                <w:rFonts w:hint="eastAsia" w:ascii="宋体" w:hAnsi="宋体"/>
                <w:kern w:val="0"/>
                <w:sz w:val="24"/>
                <w:lang w:bidi="zh-CN"/>
              </w:rPr>
            </w:pPr>
            <w:r>
              <w:rPr>
                <w:rFonts w:hint="eastAsia" w:ascii="宋体" w:hAnsi="宋体"/>
                <w:kern w:val="0"/>
                <w:sz w:val="24"/>
                <w:lang w:bidi="zh-CN"/>
              </w:rPr>
              <w:t>1992年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80" w:hRule="exact"/>
          <w:jc w:val="center"/>
        </w:trPr>
        <w:tc>
          <w:tcPr>
            <w:tcW w:w="2393" w:type="dxa"/>
            <w:vAlign w:val="center"/>
          </w:tcPr>
          <w:p>
            <w:pPr>
              <w:autoSpaceDE w:val="0"/>
              <w:autoSpaceDN w:val="0"/>
              <w:jc w:val="center"/>
              <w:rPr>
                <w:rFonts w:hint="eastAsia" w:ascii="宋体" w:hAnsi="宋体"/>
                <w:kern w:val="0"/>
                <w:sz w:val="24"/>
                <w:lang w:val="zh-CN" w:bidi="zh-CN"/>
              </w:rPr>
            </w:pPr>
            <w:r>
              <w:rPr>
                <w:rFonts w:ascii="宋体" w:hAnsi="宋体"/>
                <w:kern w:val="0"/>
                <w:sz w:val="24"/>
                <w:lang w:val="zh-CN" w:bidi="zh-CN"/>
              </w:rPr>
              <w:t xml:space="preserve">相近专业 </w:t>
            </w:r>
            <w:r>
              <w:rPr>
                <w:rFonts w:ascii="Times New Roman" w:hAnsi="Times New Roman"/>
                <w:kern w:val="0"/>
                <w:sz w:val="24"/>
                <w:lang w:val="zh-CN" w:bidi="zh-CN"/>
              </w:rPr>
              <w:t>2</w:t>
            </w:r>
          </w:p>
        </w:tc>
        <w:tc>
          <w:tcPr>
            <w:tcW w:w="2390" w:type="dxa"/>
            <w:vAlign w:val="center"/>
          </w:tcPr>
          <w:p>
            <w:pPr>
              <w:autoSpaceDE w:val="0"/>
              <w:autoSpaceDN w:val="0"/>
              <w:jc w:val="center"/>
              <w:rPr>
                <w:rFonts w:hint="eastAsia" w:ascii="宋体" w:hAnsi="宋体"/>
                <w:kern w:val="0"/>
                <w:sz w:val="24"/>
                <w:lang w:val="zh-CN" w:bidi="zh-CN"/>
              </w:rPr>
            </w:pPr>
            <w:r>
              <w:rPr>
                <w:rFonts w:hint="eastAsia" w:ascii="宋体" w:hAnsi="宋体"/>
                <w:kern w:val="0"/>
                <w:sz w:val="24"/>
                <w:lang w:val="zh-CN" w:bidi="zh-CN"/>
              </w:rPr>
              <w:t>金融学</w:t>
            </w:r>
          </w:p>
        </w:tc>
        <w:tc>
          <w:tcPr>
            <w:tcW w:w="1986" w:type="dxa"/>
            <w:vAlign w:val="center"/>
          </w:tcPr>
          <w:p>
            <w:pPr>
              <w:autoSpaceDE w:val="0"/>
              <w:autoSpaceDN w:val="0"/>
              <w:jc w:val="center"/>
              <w:rPr>
                <w:rFonts w:hint="eastAsia" w:ascii="宋体" w:hAnsi="宋体"/>
                <w:kern w:val="0"/>
                <w:sz w:val="24"/>
                <w:lang w:val="zh-CN" w:bidi="zh-CN"/>
              </w:rPr>
            </w:pPr>
            <w:r>
              <w:rPr>
                <w:rFonts w:ascii="宋体" w:hAnsi="宋体"/>
                <w:kern w:val="0"/>
                <w:sz w:val="24"/>
                <w:lang w:val="zh-CN" w:bidi="zh-CN"/>
              </w:rPr>
              <w:t>开设年份</w:t>
            </w:r>
          </w:p>
        </w:tc>
        <w:tc>
          <w:tcPr>
            <w:tcW w:w="2799" w:type="dxa"/>
            <w:gridSpan w:val="2"/>
            <w:vAlign w:val="center"/>
          </w:tcPr>
          <w:p>
            <w:pPr>
              <w:autoSpaceDE w:val="0"/>
              <w:autoSpaceDN w:val="0"/>
              <w:spacing w:before="11" w:line="283" w:lineRule="exact"/>
              <w:ind w:left="90" w:right="19"/>
              <w:jc w:val="center"/>
              <w:rPr>
                <w:rFonts w:hint="eastAsia" w:ascii="宋体" w:hAnsi="宋体"/>
                <w:kern w:val="0"/>
                <w:sz w:val="24"/>
                <w:lang w:bidi="zh-CN"/>
              </w:rPr>
            </w:pPr>
            <w:r>
              <w:rPr>
                <w:rFonts w:hint="eastAsia" w:ascii="宋体" w:hAnsi="宋体"/>
                <w:kern w:val="0"/>
                <w:sz w:val="24"/>
                <w:lang w:bidi="zh-CN"/>
              </w:rPr>
              <w:t>2013年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0" w:hRule="exact"/>
          <w:jc w:val="center"/>
        </w:trPr>
        <w:tc>
          <w:tcPr>
            <w:tcW w:w="2393" w:type="dxa"/>
            <w:vAlign w:val="center"/>
          </w:tcPr>
          <w:p>
            <w:pPr>
              <w:autoSpaceDE w:val="0"/>
              <w:autoSpaceDN w:val="0"/>
              <w:spacing w:before="16"/>
              <w:ind w:left="95" w:right="88"/>
              <w:jc w:val="center"/>
              <w:rPr>
                <w:rFonts w:hint="eastAsia" w:ascii="宋体" w:hAnsi="宋体"/>
                <w:kern w:val="0"/>
                <w:sz w:val="24"/>
                <w:lang w:val="zh-CN" w:bidi="zh-CN"/>
              </w:rPr>
            </w:pPr>
            <w:r>
              <w:rPr>
                <w:rFonts w:ascii="宋体" w:hAnsi="宋体"/>
                <w:kern w:val="0"/>
                <w:sz w:val="24"/>
                <w:lang w:val="zh-CN" w:bidi="zh-CN"/>
              </w:rPr>
              <w:t>增设专业区分度</w:t>
            </w:r>
          </w:p>
          <w:p>
            <w:pPr>
              <w:autoSpaceDE w:val="0"/>
              <w:autoSpaceDN w:val="0"/>
              <w:spacing w:before="14"/>
              <w:ind w:left="95" w:right="88"/>
              <w:jc w:val="center"/>
              <w:rPr>
                <w:rFonts w:hint="eastAsia" w:ascii="宋体" w:hAnsi="宋体"/>
                <w:kern w:val="0"/>
                <w:sz w:val="24"/>
                <w:lang w:val="zh-CN" w:bidi="zh-CN"/>
              </w:rPr>
            </w:pPr>
            <w:r>
              <w:rPr>
                <w:rFonts w:ascii="宋体" w:hAnsi="宋体"/>
                <w:color w:val="FF0000"/>
                <w:kern w:val="0"/>
                <w:sz w:val="24"/>
                <w:lang w:val="zh-CN" w:bidi="zh-CN"/>
              </w:rPr>
              <w:t>（</w:t>
            </w:r>
            <w:r>
              <w:rPr>
                <w:rFonts w:hint="eastAsia" w:ascii="宋体" w:hAnsi="宋体"/>
                <w:color w:val="FF0000"/>
                <w:kern w:val="0"/>
                <w:sz w:val="24"/>
                <w:lang w:bidi="zh-CN"/>
              </w:rPr>
              <w:t>只有</w:t>
            </w:r>
            <w:r>
              <w:rPr>
                <w:rFonts w:ascii="宋体" w:hAnsi="宋体"/>
                <w:color w:val="FF0000"/>
                <w:kern w:val="0"/>
                <w:sz w:val="24"/>
                <w:lang w:val="zh-CN" w:bidi="zh-CN"/>
              </w:rPr>
              <w:t>目录外专业</w:t>
            </w:r>
            <w:r>
              <w:rPr>
                <w:rFonts w:hint="eastAsia" w:ascii="宋体" w:hAnsi="宋体"/>
                <w:color w:val="FF0000"/>
                <w:kern w:val="0"/>
                <w:sz w:val="24"/>
                <w:lang w:bidi="zh-CN"/>
              </w:rPr>
              <w:t>需要</w:t>
            </w:r>
            <w:r>
              <w:rPr>
                <w:rFonts w:ascii="宋体" w:hAnsi="宋体"/>
                <w:color w:val="FF0000"/>
                <w:kern w:val="0"/>
                <w:sz w:val="24"/>
                <w:lang w:val="zh-CN" w:bidi="zh-CN"/>
              </w:rPr>
              <w:t>填写）</w:t>
            </w:r>
          </w:p>
        </w:tc>
        <w:tc>
          <w:tcPr>
            <w:tcW w:w="7175" w:type="dxa"/>
            <w:gridSpan w:val="4"/>
          </w:tcPr>
          <w:p>
            <w:pPr>
              <w:autoSpaceDE w:val="0"/>
              <w:autoSpaceDN w:val="0"/>
              <w:rPr>
                <w:rFonts w:hint="eastAsia" w:ascii="宋体" w:hAnsi="宋体"/>
                <w:kern w:val="0"/>
                <w:sz w:val="24"/>
                <w:lang w:val="zh-CN" w:bidi="zh-CN"/>
              </w:rPr>
            </w:pPr>
          </w:p>
          <w:p>
            <w:pPr>
              <w:rPr>
                <w:lang w:val="zh-CN"/>
              </w:rPr>
            </w:pPr>
          </w:p>
          <w:p>
            <w:pPr>
              <w:rPr>
                <w:lang w:val="zh-CN"/>
              </w:rPr>
            </w:pPr>
          </w:p>
          <w:p>
            <w:pPr>
              <w:rPr>
                <w:lang w:val="zh-CN"/>
              </w:rPr>
            </w:pPr>
          </w:p>
          <w:p>
            <w:pPr>
              <w:rPr>
                <w:lang w:val="zh-CN"/>
              </w:rPr>
            </w:pPr>
          </w:p>
          <w:p>
            <w:pPr>
              <w:rPr>
                <w:lang w:val="zh-CN"/>
              </w:rPr>
            </w:pPr>
          </w:p>
          <w:p>
            <w:pPr>
              <w:autoSpaceDE w:val="0"/>
              <w:autoSpaceDN w:val="0"/>
              <w:spacing w:before="11" w:line="283" w:lineRule="exact"/>
              <w:ind w:left="90" w:right="19"/>
              <w:jc w:val="center"/>
              <w:rPr>
                <w:color w:val="FF0000"/>
              </w:rPr>
            </w:pPr>
            <w:r>
              <w:rPr>
                <w:rFonts w:hint="eastAsia"/>
                <w:color w:val="FF0000"/>
              </w:rPr>
              <w:t>无需填写</w:t>
            </w:r>
          </w:p>
          <w:p>
            <w:pPr>
              <w:autoSpaceDE w:val="0"/>
              <w:autoSpaceDN w:val="0"/>
              <w:spacing w:before="11" w:line="283" w:lineRule="exact"/>
              <w:ind w:left="90" w:right="19"/>
              <w:jc w:val="center"/>
              <w:rPr>
                <w:color w:val="FF0000"/>
              </w:rPr>
            </w:pPr>
          </w:p>
          <w:p>
            <w:pPr>
              <w:autoSpaceDE w:val="0"/>
              <w:autoSpaceDN w:val="0"/>
              <w:spacing w:before="11" w:line="283" w:lineRule="exact"/>
              <w:ind w:left="90" w:right="19"/>
              <w:jc w:val="center"/>
              <w:rPr>
                <w:color w:val="FF0000"/>
              </w:rPr>
            </w:pPr>
          </w:p>
          <w:p>
            <w:pPr>
              <w:autoSpaceDE w:val="0"/>
              <w:autoSpaceDN w:val="0"/>
              <w:spacing w:before="11" w:line="283" w:lineRule="exact"/>
              <w:ind w:left="90" w:right="19"/>
              <w:jc w:val="center"/>
              <w:rPr>
                <w:color w:val="FF0000"/>
              </w:rPr>
            </w:pPr>
          </w:p>
          <w:p>
            <w:pPr>
              <w:autoSpaceDE w:val="0"/>
              <w:autoSpaceDN w:val="0"/>
              <w:spacing w:before="11" w:line="283" w:lineRule="exact"/>
              <w:ind w:left="90" w:right="19"/>
              <w:jc w:val="center"/>
              <w:rPr>
                <w:color w:val="FF0000"/>
              </w:rPr>
            </w:pPr>
          </w:p>
          <w:p>
            <w:pPr>
              <w:autoSpaceDE w:val="0"/>
              <w:autoSpaceDN w:val="0"/>
              <w:spacing w:before="11" w:line="283" w:lineRule="exact"/>
              <w:ind w:left="90" w:right="19"/>
              <w:jc w:val="center"/>
              <w:rPr>
                <w:color w:val="FF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0" w:hRule="exact"/>
          <w:jc w:val="center"/>
        </w:trPr>
        <w:tc>
          <w:tcPr>
            <w:tcW w:w="2393" w:type="dxa"/>
            <w:vAlign w:val="center"/>
          </w:tcPr>
          <w:p>
            <w:pPr>
              <w:autoSpaceDE w:val="0"/>
              <w:autoSpaceDN w:val="0"/>
              <w:spacing w:before="16"/>
              <w:ind w:left="115"/>
              <w:jc w:val="center"/>
              <w:rPr>
                <w:rFonts w:hint="eastAsia" w:ascii="宋体" w:hAnsi="宋体"/>
                <w:kern w:val="0"/>
                <w:sz w:val="24"/>
                <w:lang w:val="zh-CN" w:bidi="zh-CN"/>
              </w:rPr>
            </w:pPr>
            <w:r>
              <w:rPr>
                <w:rFonts w:ascii="宋体" w:hAnsi="宋体"/>
                <w:kern w:val="0"/>
                <w:sz w:val="24"/>
                <w:lang w:val="zh-CN" w:bidi="zh-CN"/>
              </w:rPr>
              <w:t>增设专业的基础要求</w:t>
            </w:r>
          </w:p>
          <w:p>
            <w:pPr>
              <w:autoSpaceDE w:val="0"/>
              <w:autoSpaceDN w:val="0"/>
              <w:spacing w:before="12"/>
              <w:ind w:left="115"/>
              <w:jc w:val="center"/>
              <w:rPr>
                <w:rFonts w:hint="eastAsia" w:ascii="宋体" w:hAnsi="宋体"/>
                <w:kern w:val="0"/>
                <w:sz w:val="24"/>
                <w:lang w:val="zh-CN" w:bidi="zh-CN"/>
              </w:rPr>
            </w:pPr>
            <w:r>
              <w:rPr>
                <w:rFonts w:ascii="宋体" w:hAnsi="宋体"/>
                <w:color w:val="FF0000"/>
                <w:kern w:val="0"/>
                <w:sz w:val="24"/>
                <w:lang w:val="zh-CN" w:bidi="zh-CN"/>
              </w:rPr>
              <w:t>（</w:t>
            </w:r>
            <w:r>
              <w:rPr>
                <w:rFonts w:hint="eastAsia" w:ascii="宋体" w:hAnsi="宋体"/>
                <w:color w:val="FF0000"/>
                <w:kern w:val="0"/>
                <w:sz w:val="24"/>
                <w:lang w:bidi="zh-CN"/>
              </w:rPr>
              <w:t>只有</w:t>
            </w:r>
            <w:r>
              <w:rPr>
                <w:rFonts w:ascii="宋体" w:hAnsi="宋体"/>
                <w:color w:val="FF0000"/>
                <w:kern w:val="0"/>
                <w:sz w:val="24"/>
                <w:lang w:val="zh-CN" w:bidi="zh-CN"/>
              </w:rPr>
              <w:t>目录外专业</w:t>
            </w:r>
            <w:r>
              <w:rPr>
                <w:rFonts w:hint="eastAsia" w:ascii="宋体" w:hAnsi="宋体"/>
                <w:color w:val="FF0000"/>
                <w:kern w:val="0"/>
                <w:sz w:val="24"/>
                <w:lang w:bidi="zh-CN"/>
              </w:rPr>
              <w:t>需要</w:t>
            </w:r>
            <w:r>
              <w:rPr>
                <w:rFonts w:ascii="宋体" w:hAnsi="宋体"/>
                <w:color w:val="FF0000"/>
                <w:kern w:val="0"/>
                <w:sz w:val="24"/>
                <w:lang w:val="zh-CN" w:bidi="zh-CN"/>
              </w:rPr>
              <w:t>填写）</w:t>
            </w:r>
          </w:p>
        </w:tc>
        <w:tc>
          <w:tcPr>
            <w:tcW w:w="7175" w:type="dxa"/>
            <w:gridSpan w:val="4"/>
          </w:tcPr>
          <w:p>
            <w:pPr>
              <w:autoSpaceDE w:val="0"/>
              <w:autoSpaceDN w:val="0"/>
              <w:rPr>
                <w:rFonts w:hint="eastAsia" w:ascii="宋体" w:hAnsi="宋体"/>
                <w:kern w:val="0"/>
                <w:sz w:val="24"/>
                <w:lang w:val="zh-CN" w:bidi="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autoSpaceDE w:val="0"/>
              <w:autoSpaceDN w:val="0"/>
              <w:spacing w:before="11" w:line="283" w:lineRule="exact"/>
              <w:ind w:left="90" w:right="19"/>
              <w:jc w:val="center"/>
              <w:rPr>
                <w:rFonts w:hint="eastAsia" w:ascii="宋体" w:hAnsi="宋体"/>
                <w:kern w:val="0"/>
                <w:sz w:val="24"/>
                <w:lang w:bidi="zh-CN"/>
              </w:rPr>
            </w:pPr>
            <w:r>
              <w:rPr>
                <w:rFonts w:hint="eastAsia"/>
                <w:color w:val="FF0000"/>
              </w:rPr>
              <w:t>无需填写</w:t>
            </w:r>
          </w:p>
        </w:tc>
      </w:tr>
    </w:tbl>
    <w:p>
      <w:pPr>
        <w:autoSpaceDE w:val="0"/>
        <w:autoSpaceDN w:val="0"/>
        <w:jc w:val="left"/>
        <w:rPr>
          <w:kern w:val="0"/>
          <w:sz w:val="24"/>
          <w:szCs w:val="22"/>
          <w:lang w:val="zh-CN" w:bidi="zh-CN"/>
        </w:rPr>
        <w:sectPr>
          <w:footnotePr>
            <w:numFmt w:val="decimalEnclosedCircleChinese"/>
            <w:numRestart w:val="eachPage"/>
          </w:footnotePr>
          <w:pgSz w:w="11906" w:h="16838"/>
          <w:pgMar w:top="2098" w:right="1474" w:bottom="1984" w:left="1588" w:header="851" w:footer="1559" w:gutter="0"/>
          <w:cols w:space="720" w:num="1"/>
          <w:docGrid w:linePitch="1" w:charSpace="0"/>
        </w:sectPr>
      </w:pPr>
    </w:p>
    <w:p>
      <w:pPr>
        <w:autoSpaceDE w:val="0"/>
        <w:autoSpaceDN w:val="0"/>
        <w:spacing w:line="400" w:lineRule="exact"/>
        <w:ind w:left="20"/>
        <w:jc w:val="center"/>
        <w:rPr>
          <w:rFonts w:hint="eastAsia" w:ascii="黑体" w:hAnsi="宋体" w:eastAsia="黑体" w:cs="宋体"/>
          <w:kern w:val="0"/>
          <w:sz w:val="32"/>
          <w:szCs w:val="32"/>
          <w:lang w:bidi="zh-CN"/>
        </w:rPr>
      </w:pPr>
      <w:r>
        <w:rPr>
          <w:rFonts w:hint="eastAsia" w:ascii="Times New Roman" w:hAnsi="Times New Roman" w:eastAsia="黑体" w:cs="宋体"/>
          <w:kern w:val="0"/>
          <w:sz w:val="32"/>
          <w:szCs w:val="32"/>
          <w:lang w:val="zh-CN" w:bidi="zh-CN"/>
        </w:rPr>
        <w:t>3</w:t>
      </w:r>
      <w:r>
        <w:rPr>
          <w:rFonts w:hint="eastAsia" w:ascii="黑体" w:hAnsi="宋体" w:eastAsia="黑体" w:cs="宋体"/>
          <w:kern w:val="0"/>
          <w:sz w:val="32"/>
          <w:szCs w:val="32"/>
          <w:lang w:val="zh-CN" w:bidi="zh-CN"/>
        </w:rPr>
        <w:t>.申报专业人才需求情况</w:t>
      </w:r>
    </w:p>
    <w:tbl>
      <w:tblPr>
        <w:tblStyle w:val="40"/>
        <w:tblpPr w:leftFromText="180" w:rightFromText="180" w:vertAnchor="text" w:horzAnchor="page" w:tblpX="1301" w:tblpY="550"/>
        <w:tblOverlap w:val="never"/>
        <w:tblW w:w="94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07"/>
        <w:gridCol w:w="1373"/>
        <w:gridCol w:w="2808"/>
        <w:gridCol w:w="34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trPr>
        <w:tc>
          <w:tcPr>
            <w:tcW w:w="3180" w:type="dxa"/>
            <w:gridSpan w:val="2"/>
            <w:vAlign w:val="center"/>
          </w:tcPr>
          <w:p>
            <w:pPr>
              <w:autoSpaceDE w:val="0"/>
              <w:autoSpaceDN w:val="0"/>
              <w:spacing w:line="360" w:lineRule="auto"/>
              <w:rPr>
                <w:rFonts w:hint="eastAsia" w:ascii="宋体" w:hAnsi="宋体"/>
                <w:kern w:val="0"/>
                <w:sz w:val="24"/>
                <w:szCs w:val="22"/>
                <w:lang w:val="zh-CN" w:bidi="zh-CN"/>
              </w:rPr>
            </w:pPr>
            <w:r>
              <w:rPr>
                <w:rFonts w:ascii="宋体" w:hAnsi="宋体"/>
                <w:kern w:val="0"/>
                <w:sz w:val="24"/>
                <w:szCs w:val="22"/>
                <w:lang w:val="zh-CN" w:bidi="zh-CN"/>
              </w:rPr>
              <w:t>申报专业主要就业领域</w:t>
            </w:r>
          </w:p>
        </w:tc>
        <w:tc>
          <w:tcPr>
            <w:tcW w:w="6232" w:type="dxa"/>
            <w:gridSpan w:val="2"/>
            <w:vAlign w:val="center"/>
          </w:tcPr>
          <w:p>
            <w:pPr>
              <w:autoSpaceDE w:val="0"/>
              <w:autoSpaceDN w:val="0"/>
              <w:spacing w:line="360" w:lineRule="auto"/>
              <w:rPr>
                <w:rFonts w:hint="eastAsia" w:ascii="宋体" w:hAnsi="宋体"/>
                <w:kern w:val="0"/>
                <w:sz w:val="24"/>
                <w:szCs w:val="22"/>
                <w:lang w:val="zh-CN" w:bidi="zh-CN"/>
              </w:rPr>
            </w:pPr>
            <w:r>
              <w:rPr>
                <w:rFonts w:ascii="宋体" w:hAnsi="宋体" w:cs="宋体"/>
                <w:sz w:val="24"/>
              </w:rPr>
              <w:t>数字产业</w:t>
            </w:r>
            <w:r>
              <w:rPr>
                <w:rFonts w:hint="eastAsia" w:ascii="宋体" w:hAnsi="宋体" w:cs="宋体"/>
                <w:sz w:val="24"/>
              </w:rPr>
              <w:t>、</w:t>
            </w:r>
            <w:r>
              <w:rPr>
                <w:rFonts w:ascii="宋体" w:hAnsi="宋体" w:cs="宋体"/>
                <w:sz w:val="24"/>
              </w:rPr>
              <w:t>产业数字化</w:t>
            </w:r>
            <w:r>
              <w:rPr>
                <w:rFonts w:hint="eastAsia" w:ascii="宋体" w:hAnsi="宋体" w:cs="宋体"/>
                <w:sz w:val="24"/>
              </w:rPr>
              <w:t>、</w:t>
            </w:r>
            <w:r>
              <w:rPr>
                <w:rFonts w:ascii="宋体" w:hAnsi="宋体" w:cs="宋体"/>
                <w:sz w:val="24"/>
              </w:rPr>
              <w:t>跨境电商</w:t>
            </w:r>
            <w:r>
              <w:rPr>
                <w:rFonts w:hint="eastAsia" w:ascii="宋体" w:hAnsi="宋体" w:cs="宋体"/>
                <w:sz w:val="24"/>
              </w:rPr>
              <w:t>、</w:t>
            </w:r>
            <w:r>
              <w:rPr>
                <w:rFonts w:ascii="宋体" w:hAnsi="宋体" w:cs="宋体"/>
                <w:sz w:val="24"/>
              </w:rPr>
              <w:t>数字政务、人工智能商业应用</w:t>
            </w:r>
            <w:r>
              <w:rPr>
                <w:rFonts w:hint="eastAsia" w:ascii="宋体" w:hAnsi="宋体" w:cs="宋体"/>
                <w:sz w:val="24"/>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26" w:hRule="atLeast"/>
        </w:trPr>
        <w:tc>
          <w:tcPr>
            <w:tcW w:w="9412" w:type="dxa"/>
            <w:gridSpan w:val="4"/>
          </w:tcPr>
          <w:p>
            <w:pPr>
              <w:autoSpaceDE w:val="0"/>
              <w:autoSpaceDN w:val="0"/>
              <w:spacing w:line="360" w:lineRule="auto"/>
              <w:ind w:left="107" w:right="51" w:firstLine="480" w:firstLineChars="200"/>
              <w:jc w:val="left"/>
              <w:rPr>
                <w:rFonts w:hint="eastAsia" w:ascii="宋体" w:hAnsi="宋体"/>
                <w:kern w:val="0"/>
                <w:sz w:val="24"/>
                <w:szCs w:val="22"/>
                <w:lang w:val="zh-CN" w:bidi="zh-CN"/>
              </w:rPr>
            </w:pPr>
            <w:r>
              <w:rPr>
                <w:rFonts w:ascii="宋体" w:hAnsi="宋体"/>
                <w:kern w:val="0"/>
                <w:sz w:val="24"/>
                <w:szCs w:val="22"/>
                <w:lang w:val="zh-CN" w:bidi="zh-CN"/>
              </w:rPr>
              <w:t>人才需求情况（请加强与用人单位的沟通，预测用人单位对该专业的岗位需求。此处填写的内容要具体到用人单位名称及其人才需求预测数）</w:t>
            </w:r>
          </w:p>
          <w:p>
            <w:pPr>
              <w:spacing w:line="360" w:lineRule="auto"/>
              <w:ind w:firstLine="480" w:firstLineChars="200"/>
              <w:rPr>
                <w:rFonts w:ascii="Times New Roman" w:hAnsi="Times New Roman"/>
                <w:sz w:val="24"/>
              </w:rPr>
            </w:pPr>
            <w:r>
              <w:rPr>
                <w:rFonts w:hint="eastAsia" w:ascii="Times New Roman" w:hAnsi="Times New Roman"/>
                <w:sz w:val="24"/>
              </w:rPr>
              <w:t>在</w:t>
            </w:r>
            <w:r>
              <w:rPr>
                <w:rFonts w:ascii="Times New Roman" w:hAnsi="Times New Roman"/>
                <w:sz w:val="24"/>
              </w:rPr>
              <w:t>人才需求</w:t>
            </w:r>
            <w:r>
              <w:rPr>
                <w:rFonts w:hint="eastAsia" w:ascii="Times New Roman" w:hAnsi="Times New Roman"/>
                <w:sz w:val="24"/>
              </w:rPr>
              <w:t>方面</w:t>
            </w:r>
            <w:r>
              <w:rPr>
                <w:rFonts w:ascii="Times New Roman" w:hAnsi="Times New Roman"/>
                <w:sz w:val="24"/>
              </w:rPr>
              <w:t>。当前，数字经济已成为推动经济增长、产业升级和区域竞争力提升的重要力量，行业市场规模持续扩大，对数字经济专业人才形成长期稳定需求。中国信息通信研究院《中国数字经济发展研究报告（2025年）》显示，2024年我国数字经济规模稳步提升至 59.2万亿元，同比名义增长9.69%，高于同期GDP名义增速5.5个百分点；数字经济占GDP比重达到 43.8%，较上年提升1个百分点。报告指出，我国数字经济发展已迈向全面扩展期，数字产业、数字化转型、数据要素、数字企业出海等领域成为重点方向；人工智能驱动的数字化转型正在进入规模化应用阶段，数据跨境流动也成为国际经贸合作的重要支撑。这表明，数字经济人才需求已不再局限于互联网企业，而是广泛分布于数字产业、产业数字化、跨境电商、数字政务、金融科技、人工智能商业应用等领域。</w:t>
            </w:r>
          </w:p>
          <w:p>
            <w:pPr>
              <w:spacing w:line="360" w:lineRule="auto"/>
              <w:ind w:firstLine="480" w:firstLineChars="200"/>
              <w:rPr>
                <w:rFonts w:ascii="Times New Roman" w:hAnsi="Times New Roman"/>
                <w:sz w:val="24"/>
              </w:rPr>
            </w:pPr>
            <w:r>
              <w:rPr>
                <w:rFonts w:hint="eastAsia" w:ascii="Times New Roman" w:hAnsi="Times New Roman"/>
                <w:sz w:val="24"/>
              </w:rPr>
              <w:t>在</w:t>
            </w:r>
            <w:r>
              <w:rPr>
                <w:rFonts w:ascii="Times New Roman" w:hAnsi="Times New Roman"/>
                <w:sz w:val="24"/>
              </w:rPr>
              <w:t>人才供给</w:t>
            </w:r>
            <w:r>
              <w:rPr>
                <w:rFonts w:hint="eastAsia" w:ascii="Times New Roman" w:hAnsi="Times New Roman"/>
                <w:sz w:val="24"/>
              </w:rPr>
              <w:t>方面。</w:t>
            </w:r>
            <w:r>
              <w:rPr>
                <w:rFonts w:ascii="Times New Roman" w:hAnsi="Times New Roman"/>
                <w:sz w:val="24"/>
              </w:rPr>
              <w:t>数字经济发展已经进入</w:t>
            </w:r>
            <w:r>
              <w:rPr>
                <w:rFonts w:hint="eastAsia" w:ascii="宋体" w:hAnsi="宋体" w:cs="宋体"/>
                <w:sz w:val="24"/>
              </w:rPr>
              <w:t>“规模扩张”向“应用深化”转</w:t>
            </w:r>
            <w:r>
              <w:rPr>
                <w:rFonts w:ascii="Times New Roman" w:hAnsi="Times New Roman"/>
                <w:sz w:val="24"/>
              </w:rPr>
              <w:t>变的新阶段，数字经济人才总量不足、结构不优、复合型人才短缺问题仍然突出。2025年发布的《数字经济人才蓝皮书：中国数字经济人才发展报告（2025）》显示，截至2024年底，我国数字经济人才总量约为3286万人，而人才需求规模约为6500万人，人才缺口超过3200万人；预计到2025年底，人才缺口仍将接近3000万人，其中高端复合型人才短缺问题尤为严峻。人力资源社会保障部等九部门印发的《加快数字人才培育支撑数字经济发展行动方案（2024</w:t>
            </w:r>
            <w:r>
              <w:rPr>
                <w:rFonts w:hint="eastAsia" w:ascii="Times New Roman" w:hAnsi="Times New Roman"/>
                <w:sz w:val="24"/>
              </w:rPr>
              <w:t>—</w:t>
            </w:r>
            <w:r>
              <w:rPr>
                <w:rFonts w:ascii="Times New Roman" w:hAnsi="Times New Roman"/>
                <w:sz w:val="24"/>
              </w:rPr>
              <w:t>2026年）》也明确提出，要紧贴数字产业化、产业数字化发展需要，用3年左右时间开展数字人才育、引、留、用专项行动，着力打造规模壮大、素质优良、结构优化、分布合理的高水平数字人才队伍。上述数据和政策表明，数字经济发展对人才的需求已经从单一技术岗位扩展到经济管理、数据分析、产业运营、数字金融、数字政务、人工智能商业应用等复合型岗位，迫切需要高校加快培养既掌握经济管理理论，又具备数字技术应用能力和产业实践能力的应用型、复合型数字经济人才。</w:t>
            </w:r>
          </w:p>
          <w:p>
            <w:pPr>
              <w:spacing w:line="360" w:lineRule="auto"/>
              <w:ind w:firstLine="480" w:firstLineChars="200"/>
              <w:rPr>
                <w:rFonts w:ascii="Times New Roman" w:hAnsi="Times New Roman"/>
                <w:sz w:val="24"/>
              </w:rPr>
            </w:pPr>
            <w:r>
              <w:rPr>
                <w:rFonts w:hint="eastAsia" w:ascii="Times New Roman" w:hAnsi="Times New Roman"/>
                <w:sz w:val="24"/>
              </w:rPr>
              <w:t>在</w:t>
            </w:r>
            <w:r>
              <w:rPr>
                <w:rFonts w:ascii="Times New Roman" w:hAnsi="Times New Roman"/>
                <w:sz w:val="24"/>
              </w:rPr>
              <w:t>广西及西南地区发展需求</w:t>
            </w:r>
            <w:r>
              <w:rPr>
                <w:rFonts w:hint="eastAsia" w:ascii="Times New Roman" w:hAnsi="Times New Roman"/>
                <w:sz w:val="24"/>
              </w:rPr>
              <w:t>方面。</w:t>
            </w:r>
            <w:r>
              <w:rPr>
                <w:rFonts w:ascii="Times New Roman" w:hAnsi="Times New Roman"/>
                <w:sz w:val="24"/>
              </w:rPr>
              <w:t>区域数字化转型正在加快推进，迫切需要一批能够服务地方产业升级、</w:t>
            </w:r>
            <w:r>
              <w:rPr>
                <w:rFonts w:hint="eastAsia" w:ascii="Times New Roman" w:hAnsi="Times New Roman"/>
                <w:sz w:val="24"/>
              </w:rPr>
              <w:t>数字政府建设</w:t>
            </w:r>
            <w:r>
              <w:rPr>
                <w:rFonts w:ascii="Times New Roman" w:hAnsi="Times New Roman"/>
                <w:sz w:val="24"/>
              </w:rPr>
              <w:t>、产业数字化改造、</w:t>
            </w:r>
            <w:r>
              <w:rPr>
                <w:rFonts w:hint="eastAsia" w:ascii="Times New Roman" w:hAnsi="Times New Roman"/>
                <w:sz w:val="24"/>
              </w:rPr>
              <w:t>中国—东盟</w:t>
            </w:r>
            <w:r>
              <w:rPr>
                <w:rFonts w:ascii="Times New Roman" w:hAnsi="Times New Roman"/>
                <w:sz w:val="24"/>
              </w:rPr>
              <w:t>数字合作的应用型人才。《广西数字经济发展白皮书（2025年）》显示，2024年广西数字经济总体呈现</w:t>
            </w:r>
            <w:r>
              <w:rPr>
                <w:rFonts w:hint="eastAsia" w:ascii="宋体" w:hAnsi="宋体" w:cs="宋体"/>
                <w:sz w:val="24"/>
              </w:rPr>
              <w:t>“人工智能领航、新质生产力强劲、多市协同共进”的</w:t>
            </w:r>
            <w:r>
              <w:rPr>
                <w:rFonts w:ascii="Times New Roman" w:hAnsi="Times New Roman"/>
                <w:sz w:val="24"/>
              </w:rPr>
              <w:t>特征；全区在用数据中心机架设计总规模达到16.4万标准机架，较2022年底增长172%，算力发展指数居全国第17位、西部省区第4位；互联网和相关服务、软件和信息技术服务业营业收入分别增长33.9%、15.8%；网络经营主体达到26万家，同比增长12%；产业数字化水平指数达到72.98，同比增长9.57%，工业互联网连接企业超过2万家，培育智能工厂、数字化车间760家。同时，《广西促进数字经济发展三年行动方案（2024</w:t>
            </w:r>
            <w:r>
              <w:rPr>
                <w:rFonts w:hint="eastAsia" w:ascii="Times New Roman" w:hAnsi="Times New Roman"/>
                <w:sz w:val="24"/>
              </w:rPr>
              <w:t>—</w:t>
            </w:r>
            <w:r>
              <w:rPr>
                <w:rFonts w:ascii="Times New Roman" w:hAnsi="Times New Roman"/>
                <w:sz w:val="24"/>
              </w:rPr>
              <w:t>2026年）》提出，到2026年数字经济成为广西经济高质量发展的重要引擎，数字经济核心产业增加值达到2000亿元、占GDP比重超过7%</w:t>
            </w:r>
            <w:r>
              <w:rPr>
                <w:rFonts w:hint="eastAsia" w:ascii="Times New Roman" w:hAnsi="Times New Roman"/>
                <w:sz w:val="24"/>
              </w:rPr>
              <w:t>。</w:t>
            </w:r>
            <w:r>
              <w:rPr>
                <w:rFonts w:ascii="Times New Roman" w:hAnsi="Times New Roman"/>
                <w:sz w:val="24"/>
              </w:rPr>
              <w:t>上述趋势表明，广西数字经济发展已从基础设施建设进入产业应用深化阶段，对高校数字经济人才培养提出了更加迫切的现实需求。</w:t>
            </w:r>
          </w:p>
          <w:p>
            <w:pPr>
              <w:autoSpaceDE w:val="0"/>
              <w:autoSpaceDN w:val="0"/>
              <w:spacing w:line="360" w:lineRule="auto"/>
              <w:ind w:left="107" w:right="51" w:firstLine="480" w:firstLineChars="200"/>
              <w:jc w:val="left"/>
              <w:rPr>
                <w:rFonts w:hint="eastAsia" w:ascii="宋体" w:hAnsi="宋体"/>
                <w:kern w:val="0"/>
                <w:sz w:val="24"/>
                <w:szCs w:val="22"/>
                <w:lang w:val="zh-CN" w:bidi="zh-CN"/>
              </w:rPr>
            </w:pPr>
            <w:r>
              <w:rPr>
                <w:rFonts w:hint="eastAsia" w:ascii="Times New Roman" w:hAnsi="Times New Roman"/>
                <w:sz w:val="24"/>
              </w:rPr>
              <w:t>在</w:t>
            </w:r>
            <w:r>
              <w:rPr>
                <w:rFonts w:ascii="Times New Roman" w:hAnsi="Times New Roman"/>
                <w:sz w:val="24"/>
              </w:rPr>
              <w:t>高校人才培养结构</w:t>
            </w:r>
            <w:r>
              <w:rPr>
                <w:rFonts w:hint="eastAsia" w:ascii="Times New Roman" w:hAnsi="Times New Roman"/>
                <w:sz w:val="24"/>
              </w:rPr>
              <w:t>方面。</w:t>
            </w:r>
            <w:r>
              <w:rPr>
                <w:rFonts w:ascii="Times New Roman" w:hAnsi="Times New Roman"/>
                <w:sz w:val="24"/>
              </w:rPr>
              <w:t>广西及西南地区数字经济人才培养仍存在专业供给不足、培养结构不均衡、交叉融合深度不够等问题。2025年8月，中央教育工作领导小组印发《高等教育学科专业设置调整优化行动方案（2025</w:t>
            </w:r>
            <w:r>
              <w:rPr>
                <w:rFonts w:hint="eastAsia" w:ascii="Times New Roman" w:hAnsi="Times New Roman"/>
                <w:sz w:val="24"/>
              </w:rPr>
              <w:t>—</w:t>
            </w:r>
            <w:r>
              <w:rPr>
                <w:rFonts w:ascii="Times New Roman" w:hAnsi="Times New Roman"/>
                <w:sz w:val="24"/>
              </w:rPr>
              <w:t>2027年）》，明确要求建立健全科技发展、国家战略需求牵引的学科专业设置调整机制，实施急需学科专业超常布局行动，推动高校专业结构同国家战略、区域发展、产业需求更加匹配。从广西高校布局看，公开招生信息显示，2026年广西开设数字经济专业的高校数量仍然有限，主要集中在财经类、电子信息类、应用型本科院校。 现有培养体系虽已开始关</w:t>
            </w:r>
            <w:r>
              <w:rPr>
                <w:rFonts w:hint="eastAsia" w:ascii="宋体" w:hAnsi="宋体" w:cs="宋体"/>
                <w:sz w:val="24"/>
              </w:rPr>
              <w:t>注“经济+技术”</w:t>
            </w:r>
            <w:r>
              <w:rPr>
                <w:rFonts w:ascii="Times New Roman" w:hAnsi="Times New Roman"/>
                <w:sz w:val="24"/>
              </w:rPr>
              <w:t>复合能力和服务</w:t>
            </w:r>
            <w:r>
              <w:rPr>
                <w:rFonts w:hint="eastAsia" w:ascii="Times New Roman" w:hAnsi="Times New Roman"/>
                <w:sz w:val="24"/>
              </w:rPr>
              <w:t>中国—东盟</w:t>
            </w:r>
            <w:r>
              <w:rPr>
                <w:rFonts w:ascii="Times New Roman" w:hAnsi="Times New Roman"/>
                <w:sz w:val="24"/>
              </w:rPr>
              <w:t>数字经济合作需求，但能够依托经济管理学科基础，面向数字产业、产业数字化、跨境电商、数字政务、金融科技、人工智能商业应用等方向系统培养人才的高校仍显不足。因此，广西师范大学经济管理学院设置数字经济专业，有助于优化区域数字经济人才培养结构，增强广西及西南地区复合型数字经济人才供给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trPr>
        <w:tc>
          <w:tcPr>
            <w:tcW w:w="1807" w:type="dxa"/>
            <w:vMerge w:val="restart"/>
            <w:vAlign w:val="center"/>
          </w:tcPr>
          <w:p>
            <w:pPr>
              <w:autoSpaceDE w:val="0"/>
              <w:autoSpaceDN w:val="0"/>
              <w:spacing w:line="436" w:lineRule="auto"/>
              <w:ind w:left="182" w:right="170"/>
              <w:jc w:val="center"/>
              <w:rPr>
                <w:rFonts w:hint="eastAsia" w:ascii="宋体" w:hAnsi="宋体"/>
                <w:color w:val="000000" w:themeColor="text1"/>
                <w:kern w:val="0"/>
                <w:sz w:val="24"/>
                <w:szCs w:val="22"/>
                <w:lang w:val="zh-CN" w:bidi="zh-CN"/>
                <w14:textFill>
                  <w14:solidFill>
                    <w14:schemeClr w14:val="tx1"/>
                  </w14:solidFill>
                </w14:textFill>
              </w:rPr>
            </w:pPr>
            <w:r>
              <w:rPr>
                <w:rFonts w:ascii="宋体" w:hAnsi="宋体"/>
                <w:color w:val="000000" w:themeColor="text1"/>
                <w:spacing w:val="-4"/>
                <w:kern w:val="0"/>
                <w:sz w:val="24"/>
                <w:szCs w:val="22"/>
                <w:lang w:val="zh-CN" w:bidi="zh-CN"/>
                <w14:textFill>
                  <w14:solidFill>
                    <w14:schemeClr w14:val="tx1"/>
                  </w14:solidFill>
                </w14:textFill>
              </w:rPr>
              <w:t>申报专业人才需求调研情况</w:t>
            </w:r>
          </w:p>
        </w:tc>
        <w:tc>
          <w:tcPr>
            <w:tcW w:w="4181" w:type="dxa"/>
            <w:gridSpan w:val="2"/>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ascii="Times New Roman" w:hAnsi="Times New Roman"/>
                <w:color w:val="000000" w:themeColor="text1"/>
                <w:kern w:val="0"/>
                <w:sz w:val="24"/>
                <w:szCs w:val="22"/>
                <w:lang w:val="zh-CN" w:bidi="zh-CN"/>
                <w14:textFill>
                  <w14:solidFill>
                    <w14:schemeClr w14:val="tx1"/>
                  </w14:solidFill>
                </w14:textFill>
              </w:rPr>
              <w:t>年度计划招生人数</w:t>
            </w:r>
          </w:p>
        </w:tc>
        <w:tc>
          <w:tcPr>
            <w:tcW w:w="3424" w:type="dxa"/>
            <w:vAlign w:val="center"/>
          </w:tcPr>
          <w:p>
            <w:pPr>
              <w:autoSpaceDE w:val="0"/>
              <w:autoSpaceDN w:val="0"/>
              <w:jc w:val="center"/>
              <w:rPr>
                <w:rFonts w:ascii="Times New Roman" w:hAnsi="Times New Roman"/>
                <w:color w:val="000000" w:themeColor="text1"/>
                <w:kern w:val="0"/>
                <w:sz w:val="24"/>
                <w:szCs w:val="22"/>
                <w:lang w:bidi="zh-CN"/>
                <w14:textFill>
                  <w14:solidFill>
                    <w14:schemeClr w14:val="tx1"/>
                  </w14:solidFill>
                </w14:textFill>
              </w:rPr>
            </w:pPr>
            <w:r>
              <w:rPr>
                <w:rFonts w:ascii="Times New Roman" w:hAnsi="Times New Roman"/>
                <w:color w:val="000000" w:themeColor="text1"/>
                <w:kern w:val="0"/>
                <w:sz w:val="24"/>
                <w:szCs w:val="22"/>
                <w:lang w:bidi="zh-CN"/>
                <w14:textFill>
                  <w14:solidFill>
                    <w14:schemeClr w14:val="tx1"/>
                  </w14:solidFill>
                </w14:textFill>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1" w:hRule="atLeast"/>
        </w:trPr>
        <w:tc>
          <w:tcPr>
            <w:tcW w:w="1807" w:type="dxa"/>
            <w:vMerge w:val="continue"/>
          </w:tcPr>
          <w:p>
            <w:pPr>
              <w:autoSpaceDE w:val="0"/>
              <w:autoSpaceDN w:val="0"/>
              <w:jc w:val="left"/>
              <w:rPr>
                <w:rFonts w:hint="eastAsia" w:ascii="宋体" w:hAnsi="宋体"/>
                <w:color w:val="000000" w:themeColor="text1"/>
                <w:kern w:val="0"/>
                <w:sz w:val="2"/>
                <w:szCs w:val="2"/>
                <w:lang w:val="zh-CN" w:bidi="zh-CN"/>
                <w14:textFill>
                  <w14:solidFill>
                    <w14:schemeClr w14:val="tx1"/>
                  </w14:solidFill>
                </w14:textFill>
              </w:rPr>
            </w:pPr>
          </w:p>
        </w:tc>
        <w:tc>
          <w:tcPr>
            <w:tcW w:w="4181" w:type="dxa"/>
            <w:gridSpan w:val="2"/>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ascii="Times New Roman" w:hAnsi="Times New Roman"/>
                <w:color w:val="000000" w:themeColor="text1"/>
                <w:kern w:val="0"/>
                <w:sz w:val="24"/>
                <w:szCs w:val="22"/>
                <w:lang w:val="zh-CN" w:bidi="zh-CN"/>
                <w14:textFill>
                  <w14:solidFill>
                    <w14:schemeClr w14:val="tx1"/>
                  </w14:solidFill>
                </w14:textFill>
              </w:rPr>
              <w:t>预计升学人数</w:t>
            </w:r>
          </w:p>
        </w:tc>
        <w:tc>
          <w:tcPr>
            <w:tcW w:w="3424" w:type="dxa"/>
            <w:vAlign w:val="center"/>
          </w:tcPr>
          <w:p>
            <w:pPr>
              <w:autoSpaceDE w:val="0"/>
              <w:autoSpaceDN w:val="0"/>
              <w:jc w:val="center"/>
              <w:rPr>
                <w:rFonts w:ascii="Times New Roman" w:hAnsi="Times New Roman"/>
                <w:color w:val="000000" w:themeColor="text1"/>
                <w:kern w:val="0"/>
                <w:sz w:val="24"/>
                <w:szCs w:val="22"/>
                <w:lang w:bidi="zh-CN"/>
                <w14:textFill>
                  <w14:solidFill>
                    <w14:schemeClr w14:val="tx1"/>
                  </w14:solidFill>
                </w14:textFill>
              </w:rPr>
            </w:pPr>
            <w:r>
              <w:rPr>
                <w:rFonts w:ascii="Times New Roman" w:hAnsi="Times New Roman"/>
                <w:color w:val="000000" w:themeColor="text1"/>
                <w:kern w:val="0"/>
                <w:sz w:val="24"/>
                <w:szCs w:val="22"/>
                <w:lang w:bidi="zh-CN"/>
                <w14:textFill>
                  <w14:solidFill>
                    <w14:schemeClr w14:val="tx1"/>
                  </w14:solidFill>
                </w14:textFill>
              </w:rPr>
              <w:t>1</w:t>
            </w:r>
            <w:r>
              <w:rPr>
                <w:rFonts w:hint="eastAsia" w:ascii="Times New Roman" w:hAnsi="Times New Roman"/>
                <w:color w:val="000000" w:themeColor="text1"/>
                <w:kern w:val="0"/>
                <w:sz w:val="24"/>
                <w:szCs w:val="22"/>
                <w:lang w:bidi="zh-CN"/>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807" w:type="dxa"/>
            <w:vMerge w:val="continue"/>
          </w:tcPr>
          <w:p>
            <w:pPr>
              <w:autoSpaceDE w:val="0"/>
              <w:autoSpaceDN w:val="0"/>
              <w:jc w:val="left"/>
              <w:rPr>
                <w:rFonts w:hint="eastAsia" w:ascii="宋体" w:hAnsi="宋体"/>
                <w:color w:val="000000" w:themeColor="text1"/>
                <w:kern w:val="0"/>
                <w:sz w:val="2"/>
                <w:szCs w:val="2"/>
                <w:lang w:val="zh-CN" w:bidi="zh-CN"/>
                <w14:textFill>
                  <w14:solidFill>
                    <w14:schemeClr w14:val="tx1"/>
                  </w14:solidFill>
                </w14:textFill>
              </w:rPr>
            </w:pPr>
          </w:p>
        </w:tc>
        <w:tc>
          <w:tcPr>
            <w:tcW w:w="4181" w:type="dxa"/>
            <w:gridSpan w:val="2"/>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ascii="Times New Roman" w:hAnsi="Times New Roman"/>
                <w:color w:val="000000" w:themeColor="text1"/>
                <w:kern w:val="0"/>
                <w:sz w:val="24"/>
                <w:szCs w:val="22"/>
                <w:lang w:val="zh-CN" w:bidi="zh-CN"/>
                <w14:textFill>
                  <w14:solidFill>
                    <w14:schemeClr w14:val="tx1"/>
                  </w14:solidFill>
                </w14:textFill>
              </w:rPr>
              <w:t>预计就业人数</w:t>
            </w:r>
          </w:p>
        </w:tc>
        <w:tc>
          <w:tcPr>
            <w:tcW w:w="3424" w:type="dxa"/>
            <w:vAlign w:val="center"/>
          </w:tcPr>
          <w:p>
            <w:pPr>
              <w:autoSpaceDE w:val="0"/>
              <w:autoSpaceDN w:val="0"/>
              <w:jc w:val="center"/>
              <w:rPr>
                <w:rFonts w:ascii="Times New Roman" w:hAnsi="Times New Roman"/>
                <w:color w:val="000000" w:themeColor="text1"/>
                <w:kern w:val="0"/>
                <w:sz w:val="24"/>
                <w:szCs w:val="22"/>
                <w:lang w:bidi="zh-CN"/>
                <w14:textFill>
                  <w14:solidFill>
                    <w14:schemeClr w14:val="tx1"/>
                  </w14:solidFill>
                </w14:textFill>
              </w:rPr>
            </w:pPr>
            <w:r>
              <w:rPr>
                <w:rFonts w:ascii="Times New Roman" w:hAnsi="Times New Roman"/>
                <w:color w:val="000000" w:themeColor="text1"/>
                <w:kern w:val="0"/>
                <w:sz w:val="24"/>
                <w:szCs w:val="22"/>
                <w:lang w:bidi="zh-CN"/>
                <w14:textFill>
                  <w14:solidFill>
                    <w14:schemeClr w14:val="tx1"/>
                  </w14:solidFill>
                </w14:textFill>
              </w:rPr>
              <w:t>3</w:t>
            </w:r>
            <w:r>
              <w:rPr>
                <w:rFonts w:hint="eastAsia" w:ascii="Times New Roman" w:hAnsi="Times New Roman"/>
                <w:color w:val="000000" w:themeColor="text1"/>
                <w:kern w:val="0"/>
                <w:sz w:val="24"/>
                <w:szCs w:val="22"/>
                <w:lang w:bidi="zh-CN"/>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1" w:hRule="atLeast"/>
        </w:trPr>
        <w:tc>
          <w:tcPr>
            <w:tcW w:w="1807" w:type="dxa"/>
            <w:vMerge w:val="continue"/>
          </w:tcPr>
          <w:p>
            <w:pPr>
              <w:autoSpaceDE w:val="0"/>
              <w:autoSpaceDN w:val="0"/>
              <w:jc w:val="left"/>
              <w:rPr>
                <w:rFonts w:hint="eastAsia" w:ascii="宋体" w:hAnsi="宋体"/>
                <w:color w:val="000000" w:themeColor="text1"/>
                <w:kern w:val="0"/>
                <w:sz w:val="2"/>
                <w:szCs w:val="2"/>
                <w:lang w:val="zh-CN" w:bidi="zh-CN"/>
                <w14:textFill>
                  <w14:solidFill>
                    <w14:schemeClr w14:val="tx1"/>
                  </w14:solidFill>
                </w14:textFill>
              </w:rPr>
            </w:pPr>
          </w:p>
        </w:tc>
        <w:tc>
          <w:tcPr>
            <w:tcW w:w="4181" w:type="dxa"/>
            <w:gridSpan w:val="2"/>
            <w:vAlign w:val="center"/>
          </w:tcPr>
          <w:p>
            <w:pPr>
              <w:autoSpaceDE w:val="0"/>
              <w:autoSpaceDN w:val="0"/>
              <w:jc w:val="center"/>
              <w:rPr>
                <w:rFonts w:ascii="Times New Roman" w:hAnsi="Times New Roman"/>
                <w:color w:val="000000" w:themeColor="text1"/>
                <w:kern w:val="0"/>
                <w:sz w:val="24"/>
                <w:szCs w:val="22"/>
                <w:lang w:bidi="zh-CN"/>
                <w14:textFill>
                  <w14:solidFill>
                    <w14:schemeClr w14:val="tx1"/>
                  </w14:solidFill>
                </w14:textFill>
              </w:rPr>
            </w:pPr>
            <w:r>
              <w:rPr>
                <w:rFonts w:ascii="Times New Roman" w:hAnsi="Times New Roman"/>
                <w:color w:val="000000" w:themeColor="text1"/>
                <w:kern w:val="0"/>
                <w:sz w:val="24"/>
                <w:szCs w:val="22"/>
                <w:lang w:val="zh-CN" w:bidi="zh-CN"/>
                <w14:textFill>
                  <w14:solidFill>
                    <w14:schemeClr w14:val="tx1"/>
                  </w14:solidFill>
                </w14:textFill>
              </w:rPr>
              <w:t>广西供应链</w:t>
            </w:r>
            <w:r>
              <w:rPr>
                <w:rFonts w:ascii="Times New Roman" w:hAnsi="Times New Roman"/>
                <w:color w:val="000000" w:themeColor="text1"/>
                <w:kern w:val="0"/>
                <w:sz w:val="24"/>
                <w:szCs w:val="22"/>
                <w:lang w:bidi="zh-CN"/>
                <w14:textFill>
                  <w14:solidFill>
                    <w14:schemeClr w14:val="tx1"/>
                  </w14:solidFill>
                </w14:textFill>
              </w:rPr>
              <w:t>服务集团</w:t>
            </w:r>
            <w:r>
              <w:rPr>
                <w:rFonts w:hint="eastAsia" w:ascii="Times New Roman" w:hAnsi="Times New Roman"/>
                <w:color w:val="000000" w:themeColor="text1"/>
                <w:kern w:val="0"/>
                <w:sz w:val="24"/>
                <w:szCs w:val="22"/>
                <w:lang w:bidi="zh-CN"/>
                <w14:textFill>
                  <w14:solidFill>
                    <w14:schemeClr w14:val="tx1"/>
                  </w14:solidFill>
                </w14:textFill>
              </w:rPr>
              <w:t>有限公司</w:t>
            </w:r>
          </w:p>
        </w:tc>
        <w:tc>
          <w:tcPr>
            <w:tcW w:w="3424" w:type="dxa"/>
            <w:vAlign w:val="center"/>
          </w:tcPr>
          <w:p>
            <w:pPr>
              <w:autoSpaceDE w:val="0"/>
              <w:autoSpaceDN w:val="0"/>
              <w:jc w:val="center"/>
              <w:rPr>
                <w:rFonts w:ascii="Times New Roman" w:hAnsi="Times New Roman"/>
                <w:color w:val="000000" w:themeColor="text1"/>
                <w:kern w:val="0"/>
                <w:sz w:val="24"/>
                <w:szCs w:val="22"/>
                <w:lang w:bidi="zh-CN"/>
                <w14:textFill>
                  <w14:solidFill>
                    <w14:schemeClr w14:val="tx1"/>
                  </w14:solidFill>
                </w14:textFill>
              </w:rPr>
            </w:pPr>
            <w:r>
              <w:rPr>
                <w:rFonts w:hint="eastAsia" w:ascii="Times New Roman" w:hAnsi="Times New Roman"/>
                <w:color w:val="000000" w:themeColor="text1"/>
                <w:kern w:val="0"/>
                <w:sz w:val="24"/>
                <w:szCs w:val="22"/>
                <w:lang w:bidi="zh-CN"/>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9" w:hRule="atLeast"/>
        </w:trPr>
        <w:tc>
          <w:tcPr>
            <w:tcW w:w="1807" w:type="dxa"/>
            <w:vMerge w:val="continue"/>
          </w:tcPr>
          <w:p>
            <w:pPr>
              <w:autoSpaceDE w:val="0"/>
              <w:autoSpaceDN w:val="0"/>
              <w:jc w:val="left"/>
              <w:rPr>
                <w:rFonts w:hint="eastAsia" w:ascii="宋体" w:hAnsi="宋体"/>
                <w:color w:val="000000" w:themeColor="text1"/>
                <w:kern w:val="0"/>
                <w:sz w:val="2"/>
                <w:szCs w:val="2"/>
                <w:lang w:val="zh-CN" w:bidi="zh-CN"/>
                <w14:textFill>
                  <w14:solidFill>
                    <w14:schemeClr w14:val="tx1"/>
                  </w14:solidFill>
                </w14:textFill>
              </w:rPr>
            </w:pPr>
          </w:p>
        </w:tc>
        <w:tc>
          <w:tcPr>
            <w:tcW w:w="4181" w:type="dxa"/>
            <w:gridSpan w:val="2"/>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ascii="Times New Roman" w:hAnsi="Times New Roman"/>
                <w:color w:val="000000" w:themeColor="text1"/>
                <w:kern w:val="0"/>
                <w:sz w:val="24"/>
                <w:szCs w:val="22"/>
                <w:lang w:val="zh-CN" w:bidi="zh-CN"/>
                <w14:textFill>
                  <w14:solidFill>
                    <w14:schemeClr w14:val="tx1"/>
                  </w14:solidFill>
                </w14:textFill>
              </w:rPr>
              <w:t>广西福达数字科技有限公司</w:t>
            </w:r>
          </w:p>
        </w:tc>
        <w:tc>
          <w:tcPr>
            <w:tcW w:w="3424" w:type="dxa"/>
            <w:vAlign w:val="center"/>
          </w:tcPr>
          <w:p>
            <w:pPr>
              <w:autoSpaceDE w:val="0"/>
              <w:autoSpaceDN w:val="0"/>
              <w:jc w:val="center"/>
              <w:rPr>
                <w:rFonts w:ascii="Times New Roman" w:hAnsi="Times New Roman"/>
                <w:color w:val="000000" w:themeColor="text1"/>
                <w:kern w:val="0"/>
                <w:sz w:val="24"/>
                <w:szCs w:val="22"/>
                <w:lang w:bidi="zh-CN"/>
                <w14:textFill>
                  <w14:solidFill>
                    <w14:schemeClr w14:val="tx1"/>
                  </w14:solidFill>
                </w14:textFill>
              </w:rPr>
            </w:pPr>
            <w:r>
              <w:rPr>
                <w:rFonts w:hint="eastAsia" w:ascii="Times New Roman" w:hAnsi="Times New Roman"/>
                <w:color w:val="000000" w:themeColor="text1"/>
                <w:kern w:val="0"/>
                <w:sz w:val="24"/>
                <w:szCs w:val="22"/>
                <w:lang w:bidi="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9" w:hRule="atLeast"/>
        </w:trPr>
        <w:tc>
          <w:tcPr>
            <w:tcW w:w="1807" w:type="dxa"/>
            <w:vMerge w:val="continue"/>
          </w:tcPr>
          <w:p>
            <w:pPr>
              <w:autoSpaceDE w:val="0"/>
              <w:autoSpaceDN w:val="0"/>
              <w:jc w:val="left"/>
              <w:rPr>
                <w:rFonts w:hint="eastAsia" w:ascii="宋体" w:hAnsi="宋体"/>
                <w:color w:val="000000" w:themeColor="text1"/>
                <w:kern w:val="0"/>
                <w:sz w:val="2"/>
                <w:szCs w:val="2"/>
                <w:lang w:val="zh-CN" w:bidi="zh-CN"/>
                <w14:textFill>
                  <w14:solidFill>
                    <w14:schemeClr w14:val="tx1"/>
                  </w14:solidFill>
                </w14:textFill>
              </w:rPr>
            </w:pPr>
          </w:p>
        </w:tc>
        <w:tc>
          <w:tcPr>
            <w:tcW w:w="4181" w:type="dxa"/>
            <w:gridSpan w:val="2"/>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hint="eastAsia" w:ascii="Times New Roman" w:hAnsi="Times New Roman"/>
                <w:color w:val="000000" w:themeColor="text1"/>
                <w:kern w:val="0"/>
                <w:sz w:val="24"/>
                <w:szCs w:val="22"/>
                <w:lang w:val="zh-CN" w:bidi="zh-CN"/>
                <w14:textFill>
                  <w14:solidFill>
                    <w14:schemeClr w14:val="tx1"/>
                  </w14:solidFill>
                </w14:textFill>
              </w:rPr>
              <w:t>桂林君泰福电气有限公司</w:t>
            </w:r>
          </w:p>
        </w:tc>
        <w:tc>
          <w:tcPr>
            <w:tcW w:w="3424" w:type="dxa"/>
            <w:vAlign w:val="center"/>
          </w:tcPr>
          <w:p>
            <w:pPr>
              <w:autoSpaceDE w:val="0"/>
              <w:autoSpaceDN w:val="0"/>
              <w:jc w:val="center"/>
              <w:rPr>
                <w:rFonts w:ascii="Times New Roman" w:hAnsi="Times New Roman"/>
                <w:color w:val="000000" w:themeColor="text1"/>
                <w:kern w:val="0"/>
                <w:sz w:val="24"/>
                <w:szCs w:val="22"/>
                <w:lang w:bidi="zh-CN"/>
                <w14:textFill>
                  <w14:solidFill>
                    <w14:schemeClr w14:val="tx1"/>
                  </w14:solidFill>
                </w14:textFill>
              </w:rPr>
            </w:pPr>
            <w:r>
              <w:rPr>
                <w:rFonts w:hint="eastAsia" w:ascii="Times New Roman" w:hAnsi="Times New Roman"/>
                <w:color w:val="000000" w:themeColor="text1"/>
                <w:kern w:val="0"/>
                <w:sz w:val="24"/>
                <w:szCs w:val="22"/>
                <w:lang w:bidi="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9" w:hRule="atLeast"/>
        </w:trPr>
        <w:tc>
          <w:tcPr>
            <w:tcW w:w="1807" w:type="dxa"/>
            <w:vMerge w:val="continue"/>
          </w:tcPr>
          <w:p>
            <w:pPr>
              <w:autoSpaceDE w:val="0"/>
              <w:autoSpaceDN w:val="0"/>
              <w:jc w:val="left"/>
              <w:rPr>
                <w:rFonts w:hint="eastAsia" w:ascii="宋体" w:hAnsi="宋体"/>
                <w:color w:val="000000" w:themeColor="text1"/>
                <w:kern w:val="0"/>
                <w:sz w:val="2"/>
                <w:szCs w:val="2"/>
                <w:lang w:val="zh-CN" w:bidi="zh-CN"/>
                <w14:textFill>
                  <w14:solidFill>
                    <w14:schemeClr w14:val="tx1"/>
                  </w14:solidFill>
                </w14:textFill>
              </w:rPr>
            </w:pPr>
          </w:p>
        </w:tc>
        <w:tc>
          <w:tcPr>
            <w:tcW w:w="4181" w:type="dxa"/>
            <w:gridSpan w:val="2"/>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hint="eastAsia" w:ascii="Times New Roman" w:hAnsi="Times New Roman"/>
                <w:color w:val="000000" w:themeColor="text1"/>
                <w:kern w:val="0"/>
                <w:sz w:val="24"/>
                <w:szCs w:val="22"/>
                <w:lang w:val="zh-CN" w:bidi="zh-CN"/>
                <w14:textFill>
                  <w14:solidFill>
                    <w14:schemeClr w14:val="tx1"/>
                  </w14:solidFill>
                </w14:textFill>
              </w:rPr>
              <w:t>桂林南药股份有限公司</w:t>
            </w:r>
          </w:p>
        </w:tc>
        <w:tc>
          <w:tcPr>
            <w:tcW w:w="3424" w:type="dxa"/>
            <w:vAlign w:val="center"/>
          </w:tcPr>
          <w:p>
            <w:pPr>
              <w:autoSpaceDE w:val="0"/>
              <w:autoSpaceDN w:val="0"/>
              <w:jc w:val="center"/>
              <w:rPr>
                <w:rFonts w:ascii="Times New Roman" w:hAnsi="Times New Roman"/>
                <w:color w:val="000000" w:themeColor="text1"/>
                <w:kern w:val="0"/>
                <w:sz w:val="24"/>
                <w:szCs w:val="22"/>
                <w:lang w:bidi="zh-CN"/>
                <w14:textFill>
                  <w14:solidFill>
                    <w14:schemeClr w14:val="tx1"/>
                  </w14:solidFill>
                </w14:textFill>
              </w:rPr>
            </w:pPr>
            <w:r>
              <w:rPr>
                <w:rFonts w:hint="eastAsia" w:ascii="Times New Roman" w:hAnsi="Times New Roman"/>
                <w:color w:val="000000" w:themeColor="text1"/>
                <w:kern w:val="0"/>
                <w:sz w:val="24"/>
                <w:szCs w:val="22"/>
                <w:lang w:bidi="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9" w:hRule="atLeast"/>
        </w:trPr>
        <w:tc>
          <w:tcPr>
            <w:tcW w:w="1807" w:type="dxa"/>
            <w:vMerge w:val="continue"/>
          </w:tcPr>
          <w:p>
            <w:pPr>
              <w:autoSpaceDE w:val="0"/>
              <w:autoSpaceDN w:val="0"/>
              <w:jc w:val="left"/>
              <w:rPr>
                <w:rFonts w:hint="eastAsia" w:ascii="宋体" w:hAnsi="宋体"/>
                <w:color w:val="000000" w:themeColor="text1"/>
                <w:kern w:val="0"/>
                <w:sz w:val="2"/>
                <w:szCs w:val="2"/>
                <w:lang w:val="zh-CN" w:bidi="zh-CN"/>
                <w14:textFill>
                  <w14:solidFill>
                    <w14:schemeClr w14:val="tx1"/>
                  </w14:solidFill>
                </w14:textFill>
              </w:rPr>
            </w:pPr>
          </w:p>
        </w:tc>
        <w:tc>
          <w:tcPr>
            <w:tcW w:w="4181" w:type="dxa"/>
            <w:gridSpan w:val="2"/>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hint="eastAsia" w:ascii="Times New Roman" w:hAnsi="Times New Roman"/>
                <w:color w:val="000000" w:themeColor="text1"/>
                <w:kern w:val="0"/>
                <w:sz w:val="24"/>
                <w:szCs w:val="22"/>
                <w:lang w:val="zh-CN" w:bidi="zh-CN"/>
                <w14:textFill>
                  <w14:solidFill>
                    <w14:schemeClr w14:val="tx1"/>
                  </w14:solidFill>
                </w14:textFill>
              </w:rPr>
              <w:t>广西玉柴机器集团有限公司</w:t>
            </w:r>
          </w:p>
        </w:tc>
        <w:tc>
          <w:tcPr>
            <w:tcW w:w="3424" w:type="dxa"/>
            <w:vAlign w:val="center"/>
          </w:tcPr>
          <w:p>
            <w:pPr>
              <w:autoSpaceDE w:val="0"/>
              <w:autoSpaceDN w:val="0"/>
              <w:jc w:val="center"/>
              <w:rPr>
                <w:rFonts w:ascii="Times New Roman" w:hAnsi="Times New Roman"/>
                <w:color w:val="000000" w:themeColor="text1"/>
                <w:kern w:val="0"/>
                <w:sz w:val="24"/>
                <w:szCs w:val="22"/>
                <w:lang w:bidi="zh-CN"/>
                <w14:textFill>
                  <w14:solidFill>
                    <w14:schemeClr w14:val="tx1"/>
                  </w14:solidFill>
                </w14:textFill>
              </w:rPr>
            </w:pPr>
            <w:r>
              <w:rPr>
                <w:rFonts w:hint="eastAsia" w:ascii="Times New Roman" w:hAnsi="Times New Roman"/>
                <w:color w:val="000000" w:themeColor="text1"/>
                <w:kern w:val="0"/>
                <w:sz w:val="24"/>
                <w:szCs w:val="22"/>
                <w:lang w:bidi="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9" w:hRule="atLeast"/>
        </w:trPr>
        <w:tc>
          <w:tcPr>
            <w:tcW w:w="1807" w:type="dxa"/>
            <w:vMerge w:val="continue"/>
          </w:tcPr>
          <w:p>
            <w:pPr>
              <w:autoSpaceDE w:val="0"/>
              <w:autoSpaceDN w:val="0"/>
              <w:jc w:val="left"/>
              <w:rPr>
                <w:rFonts w:hint="eastAsia" w:ascii="宋体" w:hAnsi="宋体"/>
                <w:color w:val="000000" w:themeColor="text1"/>
                <w:kern w:val="0"/>
                <w:sz w:val="2"/>
                <w:szCs w:val="2"/>
                <w:lang w:val="zh-CN" w:bidi="zh-CN"/>
                <w14:textFill>
                  <w14:solidFill>
                    <w14:schemeClr w14:val="tx1"/>
                  </w14:solidFill>
                </w14:textFill>
              </w:rPr>
            </w:pPr>
          </w:p>
        </w:tc>
        <w:tc>
          <w:tcPr>
            <w:tcW w:w="4181" w:type="dxa"/>
            <w:gridSpan w:val="2"/>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hint="eastAsia" w:ascii="Times New Roman" w:hAnsi="Times New Roman"/>
                <w:color w:val="000000" w:themeColor="text1"/>
                <w:kern w:val="0"/>
                <w:sz w:val="24"/>
                <w:szCs w:val="22"/>
                <w:lang w:val="zh-CN" w:bidi="zh-CN"/>
                <w14:textFill>
                  <w14:solidFill>
                    <w14:schemeClr w14:val="tx1"/>
                  </w14:solidFill>
                </w14:textFill>
              </w:rPr>
              <w:t>广西玉林坤达机械制造股份有限公司</w:t>
            </w:r>
          </w:p>
        </w:tc>
        <w:tc>
          <w:tcPr>
            <w:tcW w:w="3424" w:type="dxa"/>
            <w:vAlign w:val="center"/>
          </w:tcPr>
          <w:p>
            <w:pPr>
              <w:autoSpaceDE w:val="0"/>
              <w:autoSpaceDN w:val="0"/>
              <w:jc w:val="center"/>
              <w:rPr>
                <w:rFonts w:ascii="Times New Roman" w:hAnsi="Times New Roman"/>
                <w:color w:val="000000" w:themeColor="text1"/>
                <w:kern w:val="0"/>
                <w:sz w:val="24"/>
                <w:szCs w:val="22"/>
                <w:lang w:bidi="zh-CN"/>
                <w14:textFill>
                  <w14:solidFill>
                    <w14:schemeClr w14:val="tx1"/>
                  </w14:solidFill>
                </w14:textFill>
              </w:rPr>
            </w:pPr>
            <w:r>
              <w:rPr>
                <w:rFonts w:hint="eastAsia" w:ascii="Times New Roman" w:hAnsi="Times New Roman"/>
                <w:color w:val="000000" w:themeColor="text1"/>
                <w:kern w:val="0"/>
                <w:sz w:val="24"/>
                <w:szCs w:val="22"/>
                <w:lang w:bidi="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9" w:hRule="atLeast"/>
        </w:trPr>
        <w:tc>
          <w:tcPr>
            <w:tcW w:w="1807" w:type="dxa"/>
            <w:vMerge w:val="continue"/>
          </w:tcPr>
          <w:p>
            <w:pPr>
              <w:autoSpaceDE w:val="0"/>
              <w:autoSpaceDN w:val="0"/>
              <w:jc w:val="left"/>
              <w:rPr>
                <w:rFonts w:hint="eastAsia" w:ascii="宋体" w:hAnsi="宋体"/>
                <w:color w:val="000000" w:themeColor="text1"/>
                <w:kern w:val="0"/>
                <w:sz w:val="2"/>
                <w:szCs w:val="2"/>
                <w:lang w:val="zh-CN" w:bidi="zh-CN"/>
                <w14:textFill>
                  <w14:solidFill>
                    <w14:schemeClr w14:val="tx1"/>
                  </w14:solidFill>
                </w14:textFill>
              </w:rPr>
            </w:pPr>
          </w:p>
        </w:tc>
        <w:tc>
          <w:tcPr>
            <w:tcW w:w="4181" w:type="dxa"/>
            <w:gridSpan w:val="2"/>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hint="eastAsia" w:ascii="Times New Roman" w:hAnsi="Times New Roman"/>
                <w:color w:val="000000" w:themeColor="text1"/>
                <w:kern w:val="0"/>
                <w:sz w:val="24"/>
                <w:szCs w:val="22"/>
                <w:lang w:val="zh-CN" w:bidi="zh-CN"/>
                <w14:textFill>
                  <w14:solidFill>
                    <w14:schemeClr w14:val="tx1"/>
                  </w14:solidFill>
                </w14:textFill>
              </w:rPr>
              <w:t>北海宇隆光电科技有限公司</w:t>
            </w:r>
          </w:p>
        </w:tc>
        <w:tc>
          <w:tcPr>
            <w:tcW w:w="3424" w:type="dxa"/>
            <w:vAlign w:val="center"/>
          </w:tcPr>
          <w:p>
            <w:pPr>
              <w:autoSpaceDE w:val="0"/>
              <w:autoSpaceDN w:val="0"/>
              <w:jc w:val="center"/>
              <w:rPr>
                <w:rFonts w:ascii="Times New Roman" w:hAnsi="Times New Roman"/>
                <w:color w:val="000000" w:themeColor="text1"/>
                <w:kern w:val="0"/>
                <w:sz w:val="24"/>
                <w:szCs w:val="22"/>
                <w:lang w:bidi="zh-CN"/>
                <w14:textFill>
                  <w14:solidFill>
                    <w14:schemeClr w14:val="tx1"/>
                  </w14:solidFill>
                </w14:textFill>
              </w:rPr>
            </w:pPr>
            <w:r>
              <w:rPr>
                <w:rFonts w:hint="eastAsia" w:ascii="Times New Roman" w:hAnsi="Times New Roman"/>
                <w:color w:val="000000" w:themeColor="text1"/>
                <w:kern w:val="0"/>
                <w:sz w:val="24"/>
                <w:szCs w:val="22"/>
                <w:lang w:bidi="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9" w:hRule="atLeast"/>
        </w:trPr>
        <w:tc>
          <w:tcPr>
            <w:tcW w:w="1807" w:type="dxa"/>
            <w:vMerge w:val="continue"/>
          </w:tcPr>
          <w:p>
            <w:pPr>
              <w:autoSpaceDE w:val="0"/>
              <w:autoSpaceDN w:val="0"/>
              <w:jc w:val="left"/>
              <w:rPr>
                <w:rFonts w:hint="eastAsia" w:ascii="宋体" w:hAnsi="宋体"/>
                <w:color w:val="000000" w:themeColor="text1"/>
                <w:kern w:val="0"/>
                <w:sz w:val="2"/>
                <w:szCs w:val="2"/>
                <w:lang w:val="zh-CN" w:bidi="zh-CN"/>
                <w14:textFill>
                  <w14:solidFill>
                    <w14:schemeClr w14:val="tx1"/>
                  </w14:solidFill>
                </w14:textFill>
              </w:rPr>
            </w:pPr>
          </w:p>
        </w:tc>
        <w:tc>
          <w:tcPr>
            <w:tcW w:w="4181" w:type="dxa"/>
            <w:gridSpan w:val="2"/>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hint="eastAsia" w:ascii="Times New Roman" w:hAnsi="Times New Roman"/>
                <w:color w:val="000000" w:themeColor="text1"/>
                <w:kern w:val="0"/>
                <w:sz w:val="24"/>
                <w:szCs w:val="22"/>
                <w:lang w:val="zh-CN" w:bidi="zh-CN"/>
                <w14:textFill>
                  <w14:solidFill>
                    <w14:schemeClr w14:val="tx1"/>
                  </w14:solidFill>
                </w14:textFill>
              </w:rPr>
              <w:t>广西携健生物科技有限公司</w:t>
            </w:r>
          </w:p>
        </w:tc>
        <w:tc>
          <w:tcPr>
            <w:tcW w:w="3424" w:type="dxa"/>
            <w:vAlign w:val="center"/>
          </w:tcPr>
          <w:p>
            <w:pPr>
              <w:autoSpaceDE w:val="0"/>
              <w:autoSpaceDN w:val="0"/>
              <w:jc w:val="center"/>
              <w:rPr>
                <w:rFonts w:ascii="Times New Roman" w:hAnsi="Times New Roman"/>
                <w:color w:val="000000" w:themeColor="text1"/>
                <w:kern w:val="0"/>
                <w:sz w:val="24"/>
                <w:szCs w:val="22"/>
                <w:lang w:bidi="zh-CN"/>
                <w14:textFill>
                  <w14:solidFill>
                    <w14:schemeClr w14:val="tx1"/>
                  </w14:solidFill>
                </w14:textFill>
              </w:rPr>
            </w:pPr>
            <w:r>
              <w:rPr>
                <w:rFonts w:hint="eastAsia" w:ascii="Times New Roman" w:hAnsi="Times New Roman"/>
                <w:color w:val="000000" w:themeColor="text1"/>
                <w:kern w:val="0"/>
                <w:sz w:val="24"/>
                <w:szCs w:val="22"/>
                <w:lang w:bidi="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9" w:hRule="atLeast"/>
        </w:trPr>
        <w:tc>
          <w:tcPr>
            <w:tcW w:w="1807" w:type="dxa"/>
            <w:vMerge w:val="continue"/>
          </w:tcPr>
          <w:p>
            <w:pPr>
              <w:autoSpaceDE w:val="0"/>
              <w:autoSpaceDN w:val="0"/>
              <w:jc w:val="left"/>
              <w:rPr>
                <w:rFonts w:hint="eastAsia" w:ascii="宋体" w:hAnsi="宋体"/>
                <w:color w:val="000000" w:themeColor="text1"/>
                <w:kern w:val="0"/>
                <w:sz w:val="2"/>
                <w:szCs w:val="2"/>
                <w:lang w:val="zh-CN" w:bidi="zh-CN"/>
                <w14:textFill>
                  <w14:solidFill>
                    <w14:schemeClr w14:val="tx1"/>
                  </w14:solidFill>
                </w14:textFill>
              </w:rPr>
            </w:pPr>
          </w:p>
        </w:tc>
        <w:tc>
          <w:tcPr>
            <w:tcW w:w="4181" w:type="dxa"/>
            <w:gridSpan w:val="2"/>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hint="eastAsia" w:ascii="Times New Roman" w:hAnsi="Times New Roman"/>
                <w:color w:val="000000" w:themeColor="text1"/>
                <w:kern w:val="0"/>
                <w:sz w:val="24"/>
                <w:szCs w:val="22"/>
                <w:lang w:val="zh-CN" w:bidi="zh-CN"/>
                <w14:textFill>
                  <w14:solidFill>
                    <w14:schemeClr w14:val="tx1"/>
                  </w14:solidFill>
                </w14:textFill>
              </w:rPr>
              <w:t>广西自贸区睿显科技有限公司</w:t>
            </w:r>
          </w:p>
        </w:tc>
        <w:tc>
          <w:tcPr>
            <w:tcW w:w="3424" w:type="dxa"/>
            <w:vAlign w:val="center"/>
          </w:tcPr>
          <w:p>
            <w:pPr>
              <w:autoSpaceDE w:val="0"/>
              <w:autoSpaceDN w:val="0"/>
              <w:jc w:val="center"/>
              <w:rPr>
                <w:rFonts w:ascii="Times New Roman" w:hAnsi="Times New Roman"/>
                <w:color w:val="000000" w:themeColor="text1"/>
                <w:kern w:val="0"/>
                <w:sz w:val="24"/>
                <w:szCs w:val="22"/>
                <w:lang w:bidi="zh-CN"/>
                <w14:textFill>
                  <w14:solidFill>
                    <w14:schemeClr w14:val="tx1"/>
                  </w14:solidFill>
                </w14:textFill>
              </w:rPr>
            </w:pPr>
            <w:r>
              <w:rPr>
                <w:rFonts w:hint="eastAsia" w:ascii="Times New Roman" w:hAnsi="Times New Roman"/>
                <w:color w:val="000000" w:themeColor="text1"/>
                <w:kern w:val="0"/>
                <w:sz w:val="24"/>
                <w:szCs w:val="22"/>
                <w:lang w:bidi="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9" w:hRule="atLeast"/>
        </w:trPr>
        <w:tc>
          <w:tcPr>
            <w:tcW w:w="1807" w:type="dxa"/>
            <w:vMerge w:val="continue"/>
          </w:tcPr>
          <w:p>
            <w:pPr>
              <w:autoSpaceDE w:val="0"/>
              <w:autoSpaceDN w:val="0"/>
              <w:jc w:val="left"/>
              <w:rPr>
                <w:rFonts w:hint="eastAsia" w:ascii="宋体" w:hAnsi="宋体"/>
                <w:color w:val="000000" w:themeColor="text1"/>
                <w:kern w:val="0"/>
                <w:sz w:val="2"/>
                <w:szCs w:val="2"/>
                <w:lang w:val="zh-CN" w:bidi="zh-CN"/>
                <w14:textFill>
                  <w14:solidFill>
                    <w14:schemeClr w14:val="tx1"/>
                  </w14:solidFill>
                </w14:textFill>
              </w:rPr>
            </w:pPr>
          </w:p>
        </w:tc>
        <w:tc>
          <w:tcPr>
            <w:tcW w:w="4181" w:type="dxa"/>
            <w:gridSpan w:val="2"/>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hint="eastAsia" w:ascii="Times New Roman" w:hAnsi="Times New Roman"/>
                <w:color w:val="000000" w:themeColor="text1"/>
                <w:kern w:val="0"/>
                <w:sz w:val="24"/>
                <w:szCs w:val="22"/>
                <w:lang w:val="zh-CN" w:bidi="zh-CN"/>
                <w14:textFill>
                  <w14:solidFill>
                    <w14:schemeClr w14:val="tx1"/>
                  </w14:solidFill>
                </w14:textFill>
              </w:rPr>
              <w:t>广西南星科技有限公司</w:t>
            </w:r>
          </w:p>
        </w:tc>
        <w:tc>
          <w:tcPr>
            <w:tcW w:w="3424" w:type="dxa"/>
            <w:vAlign w:val="center"/>
          </w:tcPr>
          <w:p>
            <w:pPr>
              <w:autoSpaceDE w:val="0"/>
              <w:autoSpaceDN w:val="0"/>
              <w:jc w:val="center"/>
              <w:rPr>
                <w:rFonts w:ascii="Times New Roman" w:hAnsi="Times New Roman"/>
                <w:color w:val="000000" w:themeColor="text1"/>
                <w:kern w:val="0"/>
                <w:sz w:val="24"/>
                <w:szCs w:val="22"/>
                <w:lang w:bidi="zh-CN"/>
                <w14:textFill>
                  <w14:solidFill>
                    <w14:schemeClr w14:val="tx1"/>
                  </w14:solidFill>
                </w14:textFill>
              </w:rPr>
            </w:pPr>
            <w:r>
              <w:rPr>
                <w:rFonts w:hint="eastAsia" w:ascii="Times New Roman" w:hAnsi="Times New Roman"/>
                <w:color w:val="000000" w:themeColor="text1"/>
                <w:kern w:val="0"/>
                <w:sz w:val="24"/>
                <w:szCs w:val="22"/>
                <w:lang w:bidi="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9" w:hRule="atLeast"/>
        </w:trPr>
        <w:tc>
          <w:tcPr>
            <w:tcW w:w="1807" w:type="dxa"/>
            <w:vMerge w:val="continue"/>
          </w:tcPr>
          <w:p>
            <w:pPr>
              <w:autoSpaceDE w:val="0"/>
              <w:autoSpaceDN w:val="0"/>
              <w:jc w:val="left"/>
              <w:rPr>
                <w:rFonts w:hint="eastAsia" w:ascii="宋体" w:hAnsi="宋体"/>
                <w:color w:val="000000" w:themeColor="text1"/>
                <w:kern w:val="0"/>
                <w:sz w:val="2"/>
                <w:szCs w:val="2"/>
                <w:lang w:val="zh-CN" w:bidi="zh-CN"/>
                <w14:textFill>
                  <w14:solidFill>
                    <w14:schemeClr w14:val="tx1"/>
                  </w14:solidFill>
                </w14:textFill>
              </w:rPr>
            </w:pPr>
          </w:p>
        </w:tc>
        <w:tc>
          <w:tcPr>
            <w:tcW w:w="4181" w:type="dxa"/>
            <w:gridSpan w:val="2"/>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hint="eastAsia" w:ascii="Times New Roman" w:hAnsi="Times New Roman"/>
                <w:color w:val="000000" w:themeColor="text1"/>
                <w:kern w:val="0"/>
                <w:sz w:val="24"/>
                <w:szCs w:val="22"/>
                <w:lang w:val="zh-CN" w:bidi="zh-CN"/>
                <w14:textFill>
                  <w14:solidFill>
                    <w14:schemeClr w14:val="tx1"/>
                  </w14:solidFill>
                </w14:textFill>
              </w:rPr>
              <w:t>广西世纪创新显示电子有限公司</w:t>
            </w:r>
          </w:p>
        </w:tc>
        <w:tc>
          <w:tcPr>
            <w:tcW w:w="3424" w:type="dxa"/>
            <w:vAlign w:val="center"/>
          </w:tcPr>
          <w:p>
            <w:pPr>
              <w:autoSpaceDE w:val="0"/>
              <w:autoSpaceDN w:val="0"/>
              <w:jc w:val="center"/>
              <w:rPr>
                <w:rFonts w:ascii="Times New Roman" w:hAnsi="Times New Roman"/>
                <w:color w:val="000000" w:themeColor="text1"/>
                <w:kern w:val="0"/>
                <w:sz w:val="24"/>
                <w:szCs w:val="22"/>
                <w:lang w:bidi="zh-CN"/>
                <w14:textFill>
                  <w14:solidFill>
                    <w14:schemeClr w14:val="tx1"/>
                  </w14:solidFill>
                </w14:textFill>
              </w:rPr>
            </w:pPr>
            <w:r>
              <w:rPr>
                <w:rFonts w:hint="eastAsia" w:ascii="Times New Roman" w:hAnsi="Times New Roman"/>
                <w:color w:val="000000" w:themeColor="text1"/>
                <w:kern w:val="0"/>
                <w:sz w:val="24"/>
                <w:szCs w:val="22"/>
                <w:lang w:bidi="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9" w:hRule="atLeast"/>
        </w:trPr>
        <w:tc>
          <w:tcPr>
            <w:tcW w:w="1807" w:type="dxa"/>
            <w:vMerge w:val="continue"/>
          </w:tcPr>
          <w:p>
            <w:pPr>
              <w:autoSpaceDE w:val="0"/>
              <w:autoSpaceDN w:val="0"/>
              <w:jc w:val="left"/>
              <w:rPr>
                <w:rFonts w:hint="eastAsia" w:ascii="宋体" w:hAnsi="宋体"/>
                <w:color w:val="000000" w:themeColor="text1"/>
                <w:kern w:val="0"/>
                <w:sz w:val="2"/>
                <w:szCs w:val="2"/>
                <w:lang w:val="zh-CN" w:bidi="zh-CN"/>
                <w14:textFill>
                  <w14:solidFill>
                    <w14:schemeClr w14:val="tx1"/>
                  </w14:solidFill>
                </w14:textFill>
              </w:rPr>
            </w:pPr>
          </w:p>
        </w:tc>
        <w:tc>
          <w:tcPr>
            <w:tcW w:w="4181" w:type="dxa"/>
            <w:gridSpan w:val="2"/>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hint="eastAsia" w:ascii="Times New Roman" w:hAnsi="Times New Roman"/>
                <w:color w:val="000000" w:themeColor="text1"/>
                <w:kern w:val="0"/>
                <w:sz w:val="24"/>
                <w:szCs w:val="22"/>
                <w:lang w:val="zh-CN" w:bidi="zh-CN"/>
                <w14:textFill>
                  <w14:solidFill>
                    <w14:schemeClr w14:val="tx1"/>
                  </w14:solidFill>
                </w14:textFill>
              </w:rPr>
              <w:t>燕京啤酒（桂林漓泉）股份有限公司</w:t>
            </w:r>
          </w:p>
        </w:tc>
        <w:tc>
          <w:tcPr>
            <w:tcW w:w="3424" w:type="dxa"/>
            <w:vAlign w:val="center"/>
          </w:tcPr>
          <w:p>
            <w:pPr>
              <w:autoSpaceDE w:val="0"/>
              <w:autoSpaceDN w:val="0"/>
              <w:jc w:val="center"/>
              <w:rPr>
                <w:rFonts w:ascii="Times New Roman" w:hAnsi="Times New Roman"/>
                <w:color w:val="000000" w:themeColor="text1"/>
                <w:kern w:val="0"/>
                <w:sz w:val="24"/>
                <w:szCs w:val="22"/>
                <w:lang w:bidi="zh-CN"/>
                <w14:textFill>
                  <w14:solidFill>
                    <w14:schemeClr w14:val="tx1"/>
                  </w14:solidFill>
                </w14:textFill>
              </w:rPr>
            </w:pPr>
            <w:r>
              <w:rPr>
                <w:rFonts w:hint="eastAsia" w:ascii="Times New Roman" w:hAnsi="Times New Roman"/>
                <w:color w:val="000000" w:themeColor="text1"/>
                <w:kern w:val="0"/>
                <w:sz w:val="24"/>
                <w:szCs w:val="22"/>
                <w:lang w:bidi="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9" w:hRule="atLeast"/>
        </w:trPr>
        <w:tc>
          <w:tcPr>
            <w:tcW w:w="1807" w:type="dxa"/>
            <w:vMerge w:val="continue"/>
          </w:tcPr>
          <w:p>
            <w:pPr>
              <w:autoSpaceDE w:val="0"/>
              <w:autoSpaceDN w:val="0"/>
              <w:jc w:val="left"/>
              <w:rPr>
                <w:rFonts w:hint="eastAsia" w:ascii="宋体" w:hAnsi="宋体"/>
                <w:color w:val="000000" w:themeColor="text1"/>
                <w:kern w:val="0"/>
                <w:sz w:val="2"/>
                <w:szCs w:val="2"/>
                <w:lang w:val="zh-CN" w:bidi="zh-CN"/>
                <w14:textFill>
                  <w14:solidFill>
                    <w14:schemeClr w14:val="tx1"/>
                  </w14:solidFill>
                </w14:textFill>
              </w:rPr>
            </w:pPr>
          </w:p>
        </w:tc>
        <w:tc>
          <w:tcPr>
            <w:tcW w:w="4181" w:type="dxa"/>
            <w:gridSpan w:val="2"/>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hint="eastAsia" w:ascii="Times New Roman" w:hAnsi="Times New Roman"/>
                <w:color w:val="000000" w:themeColor="text1"/>
                <w:kern w:val="0"/>
                <w:sz w:val="24"/>
                <w:szCs w:val="22"/>
                <w:lang w:val="zh-CN" w:bidi="zh-CN"/>
                <w14:textFill>
                  <w14:solidFill>
                    <w14:schemeClr w14:val="tx1"/>
                  </w14:solidFill>
                </w14:textFill>
              </w:rPr>
              <w:t>广西来宾东糖凤凰有限公司</w:t>
            </w:r>
          </w:p>
        </w:tc>
        <w:tc>
          <w:tcPr>
            <w:tcW w:w="3424" w:type="dxa"/>
            <w:vAlign w:val="center"/>
          </w:tcPr>
          <w:p>
            <w:pPr>
              <w:autoSpaceDE w:val="0"/>
              <w:autoSpaceDN w:val="0"/>
              <w:jc w:val="center"/>
              <w:rPr>
                <w:rFonts w:ascii="Times New Roman" w:hAnsi="Times New Roman"/>
                <w:color w:val="000000" w:themeColor="text1"/>
                <w:kern w:val="0"/>
                <w:sz w:val="24"/>
                <w:szCs w:val="22"/>
                <w:lang w:bidi="zh-CN"/>
                <w14:textFill>
                  <w14:solidFill>
                    <w14:schemeClr w14:val="tx1"/>
                  </w14:solidFill>
                </w14:textFill>
              </w:rPr>
            </w:pPr>
            <w:r>
              <w:rPr>
                <w:rFonts w:hint="eastAsia" w:ascii="Times New Roman" w:hAnsi="Times New Roman"/>
                <w:color w:val="000000" w:themeColor="text1"/>
                <w:kern w:val="0"/>
                <w:sz w:val="24"/>
                <w:szCs w:val="22"/>
                <w:lang w:bidi="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9" w:hRule="atLeast"/>
        </w:trPr>
        <w:tc>
          <w:tcPr>
            <w:tcW w:w="1807" w:type="dxa"/>
            <w:vMerge w:val="continue"/>
          </w:tcPr>
          <w:p>
            <w:pPr>
              <w:autoSpaceDE w:val="0"/>
              <w:autoSpaceDN w:val="0"/>
              <w:jc w:val="left"/>
              <w:rPr>
                <w:rFonts w:hint="eastAsia" w:ascii="宋体" w:hAnsi="宋体"/>
                <w:color w:val="000000" w:themeColor="text1"/>
                <w:kern w:val="0"/>
                <w:sz w:val="2"/>
                <w:szCs w:val="2"/>
                <w:lang w:val="zh-CN" w:bidi="zh-CN"/>
                <w14:textFill>
                  <w14:solidFill>
                    <w14:schemeClr w14:val="tx1"/>
                  </w14:solidFill>
                </w14:textFill>
              </w:rPr>
            </w:pPr>
          </w:p>
        </w:tc>
        <w:tc>
          <w:tcPr>
            <w:tcW w:w="4181" w:type="dxa"/>
            <w:gridSpan w:val="2"/>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hint="eastAsia" w:ascii="Times New Roman" w:hAnsi="Times New Roman"/>
                <w:color w:val="000000" w:themeColor="text1"/>
                <w:kern w:val="0"/>
                <w:sz w:val="24"/>
                <w:szCs w:val="22"/>
                <w:lang w:val="zh-CN" w:bidi="zh-CN"/>
                <w14:textFill>
                  <w14:solidFill>
                    <w14:schemeClr w14:val="tx1"/>
                  </w14:solidFill>
                </w14:textFill>
              </w:rPr>
              <w:t>泉州爱学恩文化发展有限公司</w:t>
            </w:r>
          </w:p>
        </w:tc>
        <w:tc>
          <w:tcPr>
            <w:tcW w:w="3424" w:type="dxa"/>
            <w:vAlign w:val="center"/>
          </w:tcPr>
          <w:p>
            <w:pPr>
              <w:autoSpaceDE w:val="0"/>
              <w:autoSpaceDN w:val="0"/>
              <w:jc w:val="center"/>
              <w:rPr>
                <w:rFonts w:ascii="Times New Roman" w:hAnsi="Times New Roman"/>
                <w:color w:val="000000" w:themeColor="text1"/>
                <w:kern w:val="0"/>
                <w:sz w:val="24"/>
                <w:szCs w:val="22"/>
                <w:lang w:bidi="zh-CN"/>
                <w14:textFill>
                  <w14:solidFill>
                    <w14:schemeClr w14:val="tx1"/>
                  </w14:solidFill>
                </w14:textFill>
              </w:rPr>
            </w:pPr>
            <w:r>
              <w:rPr>
                <w:rFonts w:hint="eastAsia" w:ascii="Times New Roman" w:hAnsi="Times New Roman"/>
                <w:color w:val="000000" w:themeColor="text1"/>
                <w:kern w:val="0"/>
                <w:sz w:val="24"/>
                <w:szCs w:val="22"/>
                <w:lang w:bidi="zh-CN"/>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9" w:hRule="atLeast"/>
        </w:trPr>
        <w:tc>
          <w:tcPr>
            <w:tcW w:w="1807" w:type="dxa"/>
            <w:vMerge w:val="continue"/>
          </w:tcPr>
          <w:p>
            <w:pPr>
              <w:autoSpaceDE w:val="0"/>
              <w:autoSpaceDN w:val="0"/>
              <w:jc w:val="left"/>
              <w:rPr>
                <w:rFonts w:hint="eastAsia" w:ascii="宋体" w:hAnsi="宋体"/>
                <w:color w:val="000000" w:themeColor="text1"/>
                <w:kern w:val="0"/>
                <w:sz w:val="2"/>
                <w:szCs w:val="2"/>
                <w:lang w:val="zh-CN" w:bidi="zh-CN"/>
                <w14:textFill>
                  <w14:solidFill>
                    <w14:schemeClr w14:val="tx1"/>
                  </w14:solidFill>
                </w14:textFill>
              </w:rPr>
            </w:pPr>
          </w:p>
        </w:tc>
        <w:tc>
          <w:tcPr>
            <w:tcW w:w="4181" w:type="dxa"/>
            <w:gridSpan w:val="2"/>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hint="eastAsia" w:ascii="Times New Roman" w:hAnsi="Times New Roman"/>
                <w:color w:val="000000" w:themeColor="text1"/>
                <w:kern w:val="0"/>
                <w:sz w:val="24"/>
                <w:szCs w:val="22"/>
                <w:lang w:val="zh-CN" w:bidi="zh-CN"/>
                <w14:textFill>
                  <w14:solidFill>
                    <w14:schemeClr w14:val="tx1"/>
                  </w14:solidFill>
                </w14:textFill>
              </w:rPr>
              <w:t>泰康人寿保险有限责任公司广西分公司</w:t>
            </w:r>
          </w:p>
        </w:tc>
        <w:tc>
          <w:tcPr>
            <w:tcW w:w="3424" w:type="dxa"/>
            <w:vAlign w:val="center"/>
          </w:tcPr>
          <w:p>
            <w:pPr>
              <w:autoSpaceDE w:val="0"/>
              <w:autoSpaceDN w:val="0"/>
              <w:jc w:val="center"/>
              <w:rPr>
                <w:rFonts w:ascii="Times New Roman" w:hAnsi="Times New Roman"/>
                <w:color w:val="000000" w:themeColor="text1"/>
                <w:kern w:val="0"/>
                <w:sz w:val="24"/>
                <w:szCs w:val="22"/>
                <w:lang w:bidi="zh-CN"/>
                <w14:textFill>
                  <w14:solidFill>
                    <w14:schemeClr w14:val="tx1"/>
                  </w14:solidFill>
                </w14:textFill>
              </w:rPr>
            </w:pPr>
            <w:r>
              <w:rPr>
                <w:rFonts w:hint="eastAsia" w:ascii="Times New Roman" w:hAnsi="Times New Roman"/>
                <w:color w:val="000000" w:themeColor="text1"/>
                <w:kern w:val="0"/>
                <w:sz w:val="24"/>
                <w:szCs w:val="22"/>
                <w:lang w:bidi="zh-CN"/>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9" w:hRule="atLeast"/>
        </w:trPr>
        <w:tc>
          <w:tcPr>
            <w:tcW w:w="1807" w:type="dxa"/>
            <w:vMerge w:val="continue"/>
          </w:tcPr>
          <w:p>
            <w:pPr>
              <w:autoSpaceDE w:val="0"/>
              <w:autoSpaceDN w:val="0"/>
              <w:jc w:val="left"/>
              <w:rPr>
                <w:rFonts w:hint="eastAsia" w:ascii="宋体" w:hAnsi="宋体"/>
                <w:color w:val="000000" w:themeColor="text1"/>
                <w:kern w:val="0"/>
                <w:sz w:val="2"/>
                <w:szCs w:val="2"/>
                <w:lang w:val="zh-CN" w:bidi="zh-CN"/>
                <w14:textFill>
                  <w14:solidFill>
                    <w14:schemeClr w14:val="tx1"/>
                  </w14:solidFill>
                </w14:textFill>
              </w:rPr>
            </w:pPr>
          </w:p>
        </w:tc>
        <w:tc>
          <w:tcPr>
            <w:tcW w:w="4181" w:type="dxa"/>
            <w:gridSpan w:val="2"/>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hint="eastAsia" w:ascii="Times New Roman" w:hAnsi="Times New Roman"/>
                <w:color w:val="000000" w:themeColor="text1"/>
                <w:kern w:val="0"/>
                <w:sz w:val="24"/>
                <w:szCs w:val="22"/>
                <w:lang w:val="zh-CN" w:bidi="zh-CN"/>
                <w14:textFill>
                  <w14:solidFill>
                    <w14:schemeClr w14:val="tx1"/>
                  </w14:solidFill>
                </w14:textFill>
              </w:rPr>
              <w:t>广西捷丰人力资源有限公司</w:t>
            </w:r>
          </w:p>
        </w:tc>
        <w:tc>
          <w:tcPr>
            <w:tcW w:w="3424" w:type="dxa"/>
            <w:vAlign w:val="center"/>
          </w:tcPr>
          <w:p>
            <w:pPr>
              <w:autoSpaceDE w:val="0"/>
              <w:autoSpaceDN w:val="0"/>
              <w:jc w:val="center"/>
              <w:rPr>
                <w:rFonts w:ascii="Times New Roman" w:hAnsi="Times New Roman"/>
                <w:color w:val="000000" w:themeColor="text1"/>
                <w:kern w:val="0"/>
                <w:sz w:val="24"/>
                <w:szCs w:val="22"/>
                <w:lang w:bidi="zh-CN"/>
                <w14:textFill>
                  <w14:solidFill>
                    <w14:schemeClr w14:val="tx1"/>
                  </w14:solidFill>
                </w14:textFill>
              </w:rPr>
            </w:pPr>
            <w:r>
              <w:rPr>
                <w:rFonts w:hint="eastAsia" w:ascii="Times New Roman" w:hAnsi="Times New Roman"/>
                <w:color w:val="000000" w:themeColor="text1"/>
                <w:kern w:val="0"/>
                <w:sz w:val="24"/>
                <w:szCs w:val="22"/>
                <w:lang w:bidi="zh-CN"/>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9" w:hRule="atLeast"/>
        </w:trPr>
        <w:tc>
          <w:tcPr>
            <w:tcW w:w="1807" w:type="dxa"/>
            <w:vMerge w:val="continue"/>
          </w:tcPr>
          <w:p>
            <w:pPr>
              <w:autoSpaceDE w:val="0"/>
              <w:autoSpaceDN w:val="0"/>
              <w:jc w:val="left"/>
              <w:rPr>
                <w:rFonts w:hint="eastAsia" w:ascii="宋体" w:hAnsi="宋体"/>
                <w:color w:val="000000" w:themeColor="text1"/>
                <w:kern w:val="0"/>
                <w:sz w:val="2"/>
                <w:szCs w:val="2"/>
                <w:lang w:val="zh-CN" w:bidi="zh-CN"/>
                <w14:textFill>
                  <w14:solidFill>
                    <w14:schemeClr w14:val="tx1"/>
                  </w14:solidFill>
                </w14:textFill>
              </w:rPr>
            </w:pPr>
          </w:p>
        </w:tc>
        <w:tc>
          <w:tcPr>
            <w:tcW w:w="4181" w:type="dxa"/>
            <w:gridSpan w:val="2"/>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hint="eastAsia" w:ascii="Times New Roman" w:hAnsi="Times New Roman"/>
                <w:color w:val="000000" w:themeColor="text1"/>
                <w:kern w:val="0"/>
                <w:sz w:val="24"/>
                <w:szCs w:val="22"/>
                <w:lang w:val="zh-CN" w:bidi="zh-CN"/>
                <w14:textFill>
                  <w14:solidFill>
                    <w14:schemeClr w14:val="tx1"/>
                  </w14:solidFill>
                </w14:textFill>
              </w:rPr>
              <w:t>广西柳工集团有限公司</w:t>
            </w:r>
          </w:p>
        </w:tc>
        <w:tc>
          <w:tcPr>
            <w:tcW w:w="3424" w:type="dxa"/>
            <w:vAlign w:val="center"/>
          </w:tcPr>
          <w:p>
            <w:pPr>
              <w:autoSpaceDE w:val="0"/>
              <w:autoSpaceDN w:val="0"/>
              <w:jc w:val="center"/>
              <w:rPr>
                <w:rFonts w:ascii="Times New Roman" w:hAnsi="Times New Roman"/>
                <w:color w:val="000000" w:themeColor="text1"/>
                <w:kern w:val="0"/>
                <w:sz w:val="24"/>
                <w:szCs w:val="22"/>
                <w:lang w:bidi="zh-CN"/>
                <w14:textFill>
                  <w14:solidFill>
                    <w14:schemeClr w14:val="tx1"/>
                  </w14:solidFill>
                </w14:textFill>
              </w:rPr>
            </w:pPr>
            <w:r>
              <w:rPr>
                <w:rFonts w:hint="eastAsia" w:ascii="Times New Roman" w:hAnsi="Times New Roman"/>
                <w:color w:val="000000" w:themeColor="text1"/>
                <w:kern w:val="0"/>
                <w:sz w:val="24"/>
                <w:szCs w:val="22"/>
                <w:lang w:bidi="zh-CN"/>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9" w:hRule="atLeast"/>
        </w:trPr>
        <w:tc>
          <w:tcPr>
            <w:tcW w:w="1807" w:type="dxa"/>
            <w:vMerge w:val="continue"/>
          </w:tcPr>
          <w:p>
            <w:pPr>
              <w:autoSpaceDE w:val="0"/>
              <w:autoSpaceDN w:val="0"/>
              <w:jc w:val="left"/>
              <w:rPr>
                <w:rFonts w:hint="eastAsia" w:ascii="宋体" w:hAnsi="宋体"/>
                <w:color w:val="000000" w:themeColor="text1"/>
                <w:kern w:val="0"/>
                <w:sz w:val="2"/>
                <w:szCs w:val="2"/>
                <w:lang w:val="zh-CN" w:bidi="zh-CN"/>
                <w14:textFill>
                  <w14:solidFill>
                    <w14:schemeClr w14:val="tx1"/>
                  </w14:solidFill>
                </w14:textFill>
              </w:rPr>
            </w:pPr>
          </w:p>
        </w:tc>
        <w:tc>
          <w:tcPr>
            <w:tcW w:w="4181" w:type="dxa"/>
            <w:gridSpan w:val="2"/>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hint="eastAsia" w:ascii="Times New Roman" w:hAnsi="Times New Roman"/>
                <w:color w:val="000000" w:themeColor="text1"/>
                <w:kern w:val="0"/>
                <w:sz w:val="24"/>
                <w:szCs w:val="22"/>
                <w:lang w:val="zh-CN" w:bidi="zh-CN"/>
                <w14:textFill>
                  <w14:solidFill>
                    <w14:schemeClr w14:val="tx1"/>
                  </w14:solidFill>
                </w14:textFill>
              </w:rPr>
              <w:t>杭州妙联物联网技术有限公司</w:t>
            </w:r>
          </w:p>
        </w:tc>
        <w:tc>
          <w:tcPr>
            <w:tcW w:w="3424" w:type="dxa"/>
            <w:vAlign w:val="center"/>
          </w:tcPr>
          <w:p>
            <w:pPr>
              <w:autoSpaceDE w:val="0"/>
              <w:autoSpaceDN w:val="0"/>
              <w:jc w:val="center"/>
              <w:rPr>
                <w:rFonts w:ascii="Times New Roman" w:hAnsi="Times New Roman"/>
                <w:color w:val="000000" w:themeColor="text1"/>
                <w:kern w:val="0"/>
                <w:sz w:val="24"/>
                <w:szCs w:val="22"/>
                <w:lang w:bidi="zh-CN"/>
                <w14:textFill>
                  <w14:solidFill>
                    <w14:schemeClr w14:val="tx1"/>
                  </w14:solidFill>
                </w14:textFill>
              </w:rPr>
            </w:pPr>
            <w:r>
              <w:rPr>
                <w:rFonts w:hint="eastAsia" w:ascii="Times New Roman" w:hAnsi="Times New Roman"/>
                <w:color w:val="000000" w:themeColor="text1"/>
                <w:kern w:val="0"/>
                <w:sz w:val="24"/>
                <w:szCs w:val="22"/>
                <w:lang w:bidi="zh-CN"/>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9" w:hRule="atLeast"/>
        </w:trPr>
        <w:tc>
          <w:tcPr>
            <w:tcW w:w="1807" w:type="dxa"/>
            <w:vMerge w:val="continue"/>
          </w:tcPr>
          <w:p>
            <w:pPr>
              <w:autoSpaceDE w:val="0"/>
              <w:autoSpaceDN w:val="0"/>
              <w:jc w:val="left"/>
              <w:rPr>
                <w:rFonts w:hint="eastAsia" w:ascii="宋体" w:hAnsi="宋体"/>
                <w:color w:val="000000" w:themeColor="text1"/>
                <w:kern w:val="0"/>
                <w:sz w:val="2"/>
                <w:szCs w:val="2"/>
                <w:lang w:val="zh-CN" w:bidi="zh-CN"/>
                <w14:textFill>
                  <w14:solidFill>
                    <w14:schemeClr w14:val="tx1"/>
                  </w14:solidFill>
                </w14:textFill>
              </w:rPr>
            </w:pPr>
          </w:p>
        </w:tc>
        <w:tc>
          <w:tcPr>
            <w:tcW w:w="4181" w:type="dxa"/>
            <w:gridSpan w:val="2"/>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hint="eastAsia" w:ascii="Times New Roman" w:hAnsi="Times New Roman"/>
                <w:color w:val="000000" w:themeColor="text1"/>
                <w:kern w:val="0"/>
                <w:sz w:val="24"/>
                <w:szCs w:val="22"/>
                <w:lang w:val="zh-CN" w:bidi="zh-CN"/>
                <w14:textFill>
                  <w14:solidFill>
                    <w14:schemeClr w14:val="tx1"/>
                  </w14:solidFill>
                </w14:textFill>
              </w:rPr>
              <w:t>硬蛋科技（深圳）有限公司</w:t>
            </w:r>
          </w:p>
        </w:tc>
        <w:tc>
          <w:tcPr>
            <w:tcW w:w="3424" w:type="dxa"/>
            <w:vAlign w:val="center"/>
          </w:tcPr>
          <w:p>
            <w:pPr>
              <w:autoSpaceDE w:val="0"/>
              <w:autoSpaceDN w:val="0"/>
              <w:jc w:val="center"/>
              <w:rPr>
                <w:rFonts w:ascii="Times New Roman" w:hAnsi="Times New Roman"/>
                <w:color w:val="000000" w:themeColor="text1"/>
                <w:kern w:val="0"/>
                <w:sz w:val="24"/>
                <w:szCs w:val="22"/>
                <w:lang w:bidi="zh-CN"/>
                <w14:textFill>
                  <w14:solidFill>
                    <w14:schemeClr w14:val="tx1"/>
                  </w14:solidFill>
                </w14:textFill>
              </w:rPr>
            </w:pPr>
            <w:r>
              <w:rPr>
                <w:rFonts w:hint="eastAsia" w:ascii="Times New Roman" w:hAnsi="Times New Roman"/>
                <w:color w:val="000000" w:themeColor="text1"/>
                <w:kern w:val="0"/>
                <w:sz w:val="24"/>
                <w:szCs w:val="22"/>
                <w:lang w:bidi="zh-CN"/>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9" w:hRule="atLeast"/>
        </w:trPr>
        <w:tc>
          <w:tcPr>
            <w:tcW w:w="1807" w:type="dxa"/>
            <w:vMerge w:val="continue"/>
          </w:tcPr>
          <w:p>
            <w:pPr>
              <w:autoSpaceDE w:val="0"/>
              <w:autoSpaceDN w:val="0"/>
              <w:jc w:val="left"/>
              <w:rPr>
                <w:rFonts w:hint="eastAsia" w:ascii="宋体" w:hAnsi="宋体"/>
                <w:color w:val="000000" w:themeColor="text1"/>
                <w:kern w:val="0"/>
                <w:sz w:val="2"/>
                <w:szCs w:val="2"/>
                <w:lang w:val="zh-CN" w:bidi="zh-CN"/>
                <w14:textFill>
                  <w14:solidFill>
                    <w14:schemeClr w14:val="tx1"/>
                  </w14:solidFill>
                </w14:textFill>
              </w:rPr>
            </w:pPr>
          </w:p>
        </w:tc>
        <w:tc>
          <w:tcPr>
            <w:tcW w:w="4181" w:type="dxa"/>
            <w:gridSpan w:val="2"/>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hint="eastAsia" w:ascii="Times New Roman" w:hAnsi="Times New Roman"/>
                <w:color w:val="000000" w:themeColor="text1"/>
                <w:kern w:val="0"/>
                <w:sz w:val="24"/>
                <w:szCs w:val="22"/>
                <w:lang w:val="zh-CN" w:bidi="zh-CN"/>
                <w14:textFill>
                  <w14:solidFill>
                    <w14:schemeClr w14:val="tx1"/>
                  </w14:solidFill>
                </w14:textFill>
              </w:rPr>
              <w:t>国投智能信息科技股份有限公司</w:t>
            </w:r>
          </w:p>
        </w:tc>
        <w:tc>
          <w:tcPr>
            <w:tcW w:w="3424" w:type="dxa"/>
            <w:vAlign w:val="center"/>
          </w:tcPr>
          <w:p>
            <w:pPr>
              <w:autoSpaceDE w:val="0"/>
              <w:autoSpaceDN w:val="0"/>
              <w:jc w:val="center"/>
              <w:rPr>
                <w:rFonts w:ascii="Times New Roman" w:hAnsi="Times New Roman"/>
                <w:color w:val="000000" w:themeColor="text1"/>
                <w:kern w:val="0"/>
                <w:sz w:val="24"/>
                <w:szCs w:val="22"/>
                <w:lang w:bidi="zh-CN"/>
                <w14:textFill>
                  <w14:solidFill>
                    <w14:schemeClr w14:val="tx1"/>
                  </w14:solidFill>
                </w14:textFill>
              </w:rPr>
            </w:pPr>
            <w:r>
              <w:rPr>
                <w:rFonts w:hint="eastAsia" w:ascii="Times New Roman" w:hAnsi="Times New Roman"/>
                <w:color w:val="000000" w:themeColor="text1"/>
                <w:kern w:val="0"/>
                <w:sz w:val="24"/>
                <w:szCs w:val="22"/>
                <w:lang w:bidi="zh-CN"/>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trPr>
        <w:tc>
          <w:tcPr>
            <w:tcW w:w="1807" w:type="dxa"/>
            <w:vMerge w:val="continue"/>
          </w:tcPr>
          <w:p>
            <w:pPr>
              <w:autoSpaceDE w:val="0"/>
              <w:autoSpaceDN w:val="0"/>
              <w:jc w:val="left"/>
              <w:rPr>
                <w:rFonts w:hint="eastAsia" w:ascii="宋体" w:hAnsi="宋体"/>
                <w:color w:val="000000" w:themeColor="text1"/>
                <w:kern w:val="0"/>
                <w:sz w:val="2"/>
                <w:szCs w:val="2"/>
                <w:lang w:val="zh-CN" w:bidi="zh-CN"/>
                <w14:textFill>
                  <w14:solidFill>
                    <w14:schemeClr w14:val="tx1"/>
                  </w14:solidFill>
                </w14:textFill>
              </w:rPr>
            </w:pPr>
          </w:p>
        </w:tc>
        <w:tc>
          <w:tcPr>
            <w:tcW w:w="4181" w:type="dxa"/>
            <w:gridSpan w:val="2"/>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hint="eastAsia" w:ascii="Times New Roman" w:hAnsi="Times New Roman"/>
                <w:color w:val="000000" w:themeColor="text1"/>
                <w:kern w:val="0"/>
                <w:sz w:val="24"/>
                <w:szCs w:val="22"/>
                <w:lang w:val="zh-CN" w:bidi="zh-CN"/>
                <w14:textFill>
                  <w14:solidFill>
                    <w14:schemeClr w14:val="tx1"/>
                  </w14:solidFill>
                </w14:textFill>
              </w:rPr>
              <w:t>厦门海尼企业管理集团有限公司</w:t>
            </w:r>
          </w:p>
        </w:tc>
        <w:tc>
          <w:tcPr>
            <w:tcW w:w="3424" w:type="dxa"/>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hint="eastAsia" w:ascii="Times New Roman" w:hAnsi="Times New Roman"/>
                <w:color w:val="000000" w:themeColor="text1"/>
                <w:kern w:val="0"/>
                <w:sz w:val="24"/>
                <w:szCs w:val="22"/>
                <w:lang w:bidi="zh-CN"/>
                <w14:textFill>
                  <w14:solidFill>
                    <w14:schemeClr w14:val="tx1"/>
                  </w14:solidFill>
                </w14:textFill>
              </w:rPr>
              <w:t>1</w:t>
            </w:r>
          </w:p>
        </w:tc>
      </w:tr>
    </w:tbl>
    <w:p>
      <w:pPr>
        <w:autoSpaceDE w:val="0"/>
        <w:autoSpaceDN w:val="0"/>
        <w:spacing w:before="5"/>
        <w:jc w:val="left"/>
        <w:rPr>
          <w:rFonts w:eastAsia="黑体"/>
          <w:kern w:val="0"/>
          <w:sz w:val="11"/>
          <w:szCs w:val="36"/>
          <w:lang w:val="zh-CN" w:bidi="zh-CN"/>
        </w:rPr>
      </w:pPr>
    </w:p>
    <w:p>
      <w:pPr>
        <w:autoSpaceDE w:val="0"/>
        <w:autoSpaceDN w:val="0"/>
        <w:spacing w:before="5"/>
        <w:jc w:val="left"/>
        <w:rPr>
          <w:rFonts w:eastAsia="黑体"/>
          <w:kern w:val="0"/>
          <w:sz w:val="11"/>
          <w:szCs w:val="36"/>
          <w:lang w:val="zh-CN" w:bidi="zh-CN"/>
        </w:rPr>
      </w:pPr>
    </w:p>
    <w:p>
      <w:pPr>
        <w:autoSpaceDE w:val="0"/>
        <w:autoSpaceDN w:val="0"/>
        <w:spacing w:before="5"/>
        <w:jc w:val="left"/>
        <w:rPr>
          <w:rFonts w:eastAsia="黑体"/>
          <w:kern w:val="0"/>
          <w:sz w:val="11"/>
          <w:szCs w:val="36"/>
          <w:lang w:val="zh-CN" w:bidi="zh-CN"/>
        </w:rPr>
      </w:pPr>
    </w:p>
    <w:p>
      <w:pPr>
        <w:autoSpaceDE w:val="0"/>
        <w:autoSpaceDN w:val="0"/>
        <w:jc w:val="left"/>
        <w:rPr>
          <w:kern w:val="0"/>
          <w:sz w:val="24"/>
          <w:szCs w:val="22"/>
          <w:lang w:val="zh-CN" w:bidi="zh-CN"/>
        </w:rPr>
      </w:pPr>
    </w:p>
    <w:p>
      <w:pPr>
        <w:autoSpaceDE w:val="0"/>
        <w:autoSpaceDN w:val="0"/>
        <w:jc w:val="left"/>
        <w:rPr>
          <w:kern w:val="0"/>
          <w:sz w:val="24"/>
          <w:szCs w:val="22"/>
          <w:lang w:val="zh-CN" w:bidi="zh-CN"/>
        </w:rPr>
        <w:sectPr>
          <w:headerReference r:id="rId6" w:type="default"/>
          <w:footnotePr>
            <w:numFmt w:val="decimalEnclosedCircleChinese"/>
            <w:numRestart w:val="eachPage"/>
          </w:footnotePr>
          <w:pgSz w:w="11906" w:h="16838"/>
          <w:pgMar w:top="2098" w:right="1474" w:bottom="1984" w:left="1588" w:header="851" w:footer="1559" w:gutter="0"/>
          <w:cols w:space="720" w:num="1"/>
          <w:docGrid w:linePitch="1" w:charSpace="0"/>
        </w:sectPr>
      </w:pPr>
    </w:p>
    <w:p>
      <w:pPr>
        <w:autoSpaceDE w:val="0"/>
        <w:autoSpaceDN w:val="0"/>
        <w:spacing w:line="400" w:lineRule="exact"/>
        <w:jc w:val="center"/>
        <w:rPr>
          <w:rFonts w:ascii="Times New Roman" w:hAnsi="Times New Roman" w:eastAsia="黑体" w:cs="黑体"/>
          <w:color w:val="00B0F0"/>
          <w:kern w:val="0"/>
          <w:sz w:val="32"/>
          <w:szCs w:val="32"/>
          <w:lang w:bidi="zh-CN"/>
        </w:rPr>
      </w:pPr>
      <w:r>
        <w:rPr>
          <w:rFonts w:hint="eastAsia" w:ascii="Times New Roman" w:hAnsi="Times New Roman" w:eastAsia="黑体" w:cs="黑体"/>
          <w:kern w:val="0"/>
          <w:sz w:val="32"/>
          <w:szCs w:val="32"/>
          <w:lang w:bidi="zh-CN"/>
        </w:rPr>
        <w:t>4.产业调研报告</w:t>
      </w:r>
    </w:p>
    <w:p>
      <w:pPr>
        <w:spacing w:after="120" w:line="440" w:lineRule="exact"/>
        <w:jc w:val="center"/>
        <w:rPr>
          <w:rFonts w:hint="eastAsia" w:ascii="华文新魏" w:hAnsi="华文新魏" w:eastAsia="华文新魏"/>
          <w:sz w:val="32"/>
        </w:rPr>
      </w:pPr>
    </w:p>
    <w:p>
      <w:pPr>
        <w:spacing w:after="120" w:line="440" w:lineRule="exact"/>
        <w:jc w:val="center"/>
        <w:rPr>
          <w:rFonts w:hint="eastAsia" w:ascii="华文新魏" w:hAnsi="华文新魏" w:eastAsia="华文新魏"/>
          <w:sz w:val="32"/>
        </w:rPr>
      </w:pPr>
    </w:p>
    <w:p>
      <w:pPr>
        <w:spacing w:after="120" w:line="440" w:lineRule="exact"/>
        <w:jc w:val="center"/>
        <w:rPr>
          <w:rFonts w:hint="eastAsia" w:ascii="华文新魏" w:hAnsi="华文新魏" w:eastAsia="华文新魏"/>
          <w:sz w:val="32"/>
        </w:rPr>
      </w:pPr>
    </w:p>
    <w:p>
      <w:pPr>
        <w:spacing w:after="120" w:line="440" w:lineRule="exact"/>
        <w:jc w:val="center"/>
        <w:rPr>
          <w:rFonts w:hint="eastAsia" w:ascii="华文新魏" w:hAnsi="华文新魏" w:eastAsia="华文新魏"/>
          <w:sz w:val="32"/>
        </w:rPr>
      </w:pPr>
    </w:p>
    <w:p>
      <w:pPr>
        <w:spacing w:after="120" w:line="440" w:lineRule="exact"/>
        <w:jc w:val="center"/>
        <w:rPr>
          <w:rFonts w:hint="eastAsia" w:ascii="华文新魏" w:hAnsi="华文新魏" w:eastAsia="华文新魏"/>
          <w:sz w:val="32"/>
        </w:rPr>
      </w:pPr>
    </w:p>
    <w:p>
      <w:pPr>
        <w:spacing w:after="120" w:line="440" w:lineRule="exact"/>
        <w:jc w:val="center"/>
        <w:rPr>
          <w:rFonts w:hint="eastAsia" w:ascii="华文新魏" w:hAnsi="华文新魏" w:eastAsia="华文新魏"/>
          <w:sz w:val="32"/>
        </w:rPr>
      </w:pPr>
    </w:p>
    <w:p>
      <w:pPr>
        <w:spacing w:after="120" w:line="440" w:lineRule="exact"/>
        <w:jc w:val="center"/>
        <w:rPr>
          <w:rFonts w:ascii="Times New Roman" w:hAnsi="Times New Roman" w:eastAsia="楷体" w:cs="黑体"/>
          <w:kern w:val="0"/>
          <w:sz w:val="28"/>
          <w:szCs w:val="32"/>
          <w:lang w:bidi="zh-CN"/>
        </w:rPr>
      </w:pPr>
      <w:r>
        <w:rPr>
          <w:rFonts w:hint="eastAsia" w:ascii="Times New Roman" w:hAnsi="Times New Roman" w:eastAsia="楷体" w:cs="黑体"/>
          <w:kern w:val="0"/>
          <w:sz w:val="28"/>
          <w:szCs w:val="32"/>
          <w:lang w:bidi="zh-CN"/>
        </w:rPr>
        <w:t>数字经济专业</w:t>
      </w:r>
    </w:p>
    <w:p>
      <w:pPr>
        <w:autoSpaceDE w:val="0"/>
        <w:autoSpaceDN w:val="0"/>
        <w:spacing w:line="360" w:lineRule="auto"/>
        <w:jc w:val="center"/>
        <w:rPr>
          <w:rFonts w:ascii="Times New Roman" w:hAnsi="Times New Roman" w:eastAsia="黑体" w:cs="黑体"/>
          <w:kern w:val="0"/>
          <w:sz w:val="28"/>
          <w:szCs w:val="32"/>
          <w:lang w:bidi="zh-CN"/>
        </w:rPr>
      </w:pPr>
      <w:r>
        <w:rPr>
          <w:rFonts w:hint="eastAsia" w:ascii="Times New Roman" w:hAnsi="Times New Roman" w:eastAsia="黑体" w:cs="黑体"/>
          <w:kern w:val="0"/>
          <w:sz w:val="28"/>
          <w:szCs w:val="32"/>
          <w:lang w:bidi="zh-CN"/>
        </w:rPr>
        <w:t>行业调研报告</w:t>
      </w:r>
    </w:p>
    <w:p/>
    <w:p>
      <w:pPr>
        <w:spacing w:after="80" w:line="400" w:lineRule="exact"/>
        <w:jc w:val="center"/>
      </w:pPr>
      <w:r>
        <w:rPr>
          <w:rFonts w:ascii="仿宋" w:hAnsi="仿宋" w:eastAsia="仿宋"/>
          <w:sz w:val="28"/>
        </w:rPr>
        <w:t>基于国家战略、区域发展与人才需求的综合论证</w:t>
      </w:r>
    </w:p>
    <w:p/>
    <w:p>
      <w:pPr>
        <w:spacing w:after="80" w:line="400" w:lineRule="exact"/>
        <w:jc w:val="center"/>
        <w:rPr>
          <w:rFonts w:hint="eastAsia" w:ascii="仿宋" w:hAnsi="仿宋" w:eastAsia="仿宋"/>
          <w:sz w:val="28"/>
        </w:rPr>
      </w:pPr>
    </w:p>
    <w:p>
      <w:pPr>
        <w:spacing w:after="80" w:line="400" w:lineRule="exact"/>
        <w:jc w:val="center"/>
        <w:rPr>
          <w:rFonts w:hint="eastAsia" w:ascii="仿宋" w:hAnsi="仿宋" w:eastAsia="仿宋"/>
          <w:sz w:val="28"/>
        </w:rPr>
      </w:pPr>
    </w:p>
    <w:p>
      <w:pPr>
        <w:spacing w:after="80" w:line="400" w:lineRule="exact"/>
        <w:jc w:val="center"/>
        <w:rPr>
          <w:rFonts w:hint="eastAsia" w:ascii="仿宋" w:hAnsi="仿宋" w:eastAsia="仿宋"/>
          <w:sz w:val="28"/>
        </w:rPr>
      </w:pPr>
    </w:p>
    <w:p>
      <w:pPr>
        <w:spacing w:after="80" w:line="400" w:lineRule="exact"/>
        <w:jc w:val="center"/>
        <w:rPr>
          <w:rFonts w:hint="eastAsia" w:ascii="仿宋" w:hAnsi="仿宋" w:eastAsia="仿宋"/>
          <w:sz w:val="28"/>
        </w:rPr>
      </w:pPr>
    </w:p>
    <w:p>
      <w:pPr>
        <w:spacing w:after="80" w:line="400" w:lineRule="exact"/>
        <w:jc w:val="center"/>
        <w:rPr>
          <w:rFonts w:hint="eastAsia" w:ascii="仿宋" w:hAnsi="仿宋" w:eastAsia="仿宋"/>
          <w:sz w:val="28"/>
        </w:rPr>
      </w:pPr>
    </w:p>
    <w:p>
      <w:pPr>
        <w:spacing w:after="80" w:line="400" w:lineRule="exact"/>
        <w:jc w:val="center"/>
        <w:rPr>
          <w:rFonts w:hint="eastAsia" w:ascii="仿宋" w:hAnsi="仿宋" w:eastAsia="仿宋"/>
          <w:sz w:val="28"/>
        </w:rPr>
      </w:pPr>
    </w:p>
    <w:p>
      <w:pPr>
        <w:spacing w:after="80" w:line="400" w:lineRule="exact"/>
        <w:jc w:val="center"/>
        <w:rPr>
          <w:rFonts w:hint="eastAsia" w:ascii="仿宋" w:hAnsi="仿宋" w:eastAsia="仿宋"/>
          <w:sz w:val="28"/>
        </w:rPr>
      </w:pPr>
    </w:p>
    <w:p>
      <w:pPr>
        <w:spacing w:after="80" w:line="400" w:lineRule="exact"/>
        <w:rPr>
          <w:rFonts w:hint="eastAsia" w:ascii="仿宋" w:hAnsi="仿宋" w:eastAsia="仿宋"/>
          <w:sz w:val="28"/>
        </w:rPr>
      </w:pPr>
    </w:p>
    <w:p>
      <w:pPr>
        <w:spacing w:after="80" w:line="400" w:lineRule="exact"/>
        <w:jc w:val="center"/>
        <w:rPr>
          <w:rFonts w:hint="eastAsia" w:ascii="仿宋" w:hAnsi="仿宋" w:eastAsia="仿宋"/>
          <w:sz w:val="28"/>
        </w:rPr>
      </w:pPr>
    </w:p>
    <w:p>
      <w:pPr>
        <w:autoSpaceDE w:val="0"/>
        <w:autoSpaceDN w:val="0"/>
        <w:spacing w:line="360" w:lineRule="auto"/>
        <w:jc w:val="center"/>
        <w:rPr>
          <w:rFonts w:ascii="Times New Roman" w:hAnsi="Times New Roman" w:cs="黑体"/>
          <w:kern w:val="0"/>
          <w:sz w:val="24"/>
          <w:lang w:bidi="zh-CN"/>
        </w:rPr>
      </w:pPr>
      <w:r>
        <w:rPr>
          <w:rFonts w:hint="eastAsia" w:ascii="Times New Roman" w:hAnsi="Times New Roman" w:cs="黑体"/>
          <w:kern w:val="0"/>
          <w:sz w:val="24"/>
          <w:lang w:bidi="zh-CN"/>
        </w:rPr>
        <w:t>广西师范大学</w:t>
      </w:r>
    </w:p>
    <w:p>
      <w:pPr>
        <w:autoSpaceDE w:val="0"/>
        <w:autoSpaceDN w:val="0"/>
        <w:jc w:val="center"/>
        <w:sectPr>
          <w:headerReference r:id="rId7" w:type="default"/>
          <w:footnotePr>
            <w:numFmt w:val="decimalEnclosedCircleChinese"/>
            <w:numRestart w:val="eachPage"/>
          </w:footnotePr>
          <w:pgSz w:w="11906" w:h="16838"/>
          <w:pgMar w:top="1440" w:right="1797" w:bottom="1440" w:left="1797" w:header="720" w:footer="720" w:gutter="0"/>
          <w:pgNumType w:start="1"/>
          <w:cols w:space="720" w:num="1"/>
          <w:docGrid w:linePitch="360" w:charSpace="0"/>
        </w:sectPr>
      </w:pPr>
      <w:r>
        <w:rPr>
          <w:rFonts w:hint="eastAsia" w:ascii="Times New Roman" w:hAnsi="Times New Roman" w:cs="黑体"/>
          <w:kern w:val="0"/>
          <w:sz w:val="24"/>
          <w:lang w:bidi="zh-CN"/>
        </w:rPr>
        <w:t>2026年7月22日</w:t>
      </w:r>
    </w:p>
    <w:p>
      <w:pPr>
        <w:pStyle w:val="3"/>
        <w:spacing w:before="0" w:line="240" w:lineRule="auto"/>
        <w:jc w:val="center"/>
        <w:rPr>
          <w:rFonts w:ascii="Times New Roman" w:hAnsi="Times New Roman" w:cs="Times New Roman"/>
        </w:rPr>
      </w:pPr>
      <w:bookmarkStart w:id="2" w:name="_Toc230546432"/>
      <w:bookmarkStart w:id="3" w:name="_Toc230619148"/>
      <w:bookmarkStart w:id="4" w:name="_Toc28290"/>
      <w:bookmarkStart w:id="5" w:name="_Toc21938"/>
      <w:r>
        <w:rPr>
          <w:rFonts w:ascii="Times New Roman" w:hAnsi="Times New Roman" w:cs="Times New Roman"/>
        </w:rPr>
        <w:t>摘</w:t>
      </w:r>
      <w:r>
        <w:rPr>
          <w:rFonts w:hint="eastAsia" w:ascii="Times New Roman" w:hAnsi="Times New Roman" w:cs="Times New Roman"/>
        </w:rPr>
        <w:t xml:space="preserve"> </w:t>
      </w:r>
      <w:r>
        <w:rPr>
          <w:rFonts w:ascii="Times New Roman" w:hAnsi="Times New Roman" w:cs="Times New Roman"/>
        </w:rPr>
        <w:t>要</w:t>
      </w:r>
      <w:bookmarkEnd w:id="2"/>
      <w:bookmarkEnd w:id="3"/>
      <w:bookmarkEnd w:id="4"/>
      <w:bookmarkEnd w:id="5"/>
    </w:p>
    <w:p/>
    <w:p>
      <w:pPr>
        <w:spacing w:line="360" w:lineRule="auto"/>
        <w:ind w:firstLine="480" w:firstLineChars="200"/>
        <w:rPr>
          <w:sz w:val="24"/>
        </w:rPr>
      </w:pPr>
      <w:r>
        <w:rPr>
          <w:sz w:val="24"/>
        </w:rPr>
        <w:t>本报告立足国家数字经济发展战略、新文科建设要求和广西面向东盟开放合作实际，围绕数字经济产业发展、区域人才需求、专业建设基础和人才培养定位，对广西师范大学经济</w:t>
      </w:r>
      <w:r>
        <w:rPr>
          <w:rFonts w:hint="eastAsia"/>
          <w:sz w:val="24"/>
        </w:rPr>
        <w:t>管理</w:t>
      </w:r>
      <w:r>
        <w:rPr>
          <w:sz w:val="24"/>
        </w:rPr>
        <w:t>学院设置数字经济本科专业的必要性与可行性进行调研论证。调研认为，数字经济正加快融入贸易、金融、制造、农业、文旅和公共治理等领域，广西依托</w:t>
      </w:r>
      <w:r>
        <w:rPr>
          <w:rFonts w:hint="eastAsia"/>
          <w:sz w:val="24"/>
        </w:rPr>
        <w:t>中国—东盟</w:t>
      </w:r>
      <w:r>
        <w:rPr>
          <w:sz w:val="24"/>
        </w:rPr>
        <w:t>信息港、广西自贸试验区、跨境电商综合试验区和面向东盟的金融开放门户，已形成跨境电商、数字金融、智慧物流、数字文旅、多语言数据服务等特色应用场景，为数字经济专业建设和复合型人才培养提供了良好的区域产业基础。</w:t>
      </w:r>
    </w:p>
    <w:p>
      <w:pPr>
        <w:spacing w:line="360" w:lineRule="auto"/>
        <w:ind w:firstLine="480" w:firstLineChars="200"/>
        <w:rPr>
          <w:sz w:val="24"/>
        </w:rPr>
      </w:pPr>
      <w:r>
        <w:rPr>
          <w:sz w:val="24"/>
        </w:rPr>
        <w:t>广西师范大学经济</w:t>
      </w:r>
      <w:r>
        <w:rPr>
          <w:rFonts w:hint="eastAsia"/>
          <w:sz w:val="24"/>
        </w:rPr>
        <w:t>管理</w:t>
      </w:r>
      <w:r>
        <w:rPr>
          <w:sz w:val="24"/>
        </w:rPr>
        <w:t>学院具有较好的学科积累和专业建设条件。学院依托经济学、工商管理等国家级一流本科专业建设点，具备理论经济学、工商管理等学科支撑，</w:t>
      </w:r>
      <w:r>
        <w:rPr>
          <w:rFonts w:hint="eastAsia"/>
          <w:sz w:val="24"/>
        </w:rPr>
        <w:t>学院依托广西数字赋能经济发展重点实验室、珠江—西江经济带合作发展研究中心、泛北部湾区域研究中心、西南城市与区域发展研究中心、东盟区域与国别研究院等科研平台，具备开设数字经济专业的坚实基础</w:t>
      </w:r>
    </w:p>
    <w:p>
      <w:pPr>
        <w:spacing w:line="360" w:lineRule="auto"/>
        <w:ind w:firstLine="480" w:firstLineChars="200"/>
        <w:rPr>
          <w:sz w:val="24"/>
        </w:rPr>
      </w:pPr>
      <w:r>
        <w:rPr>
          <w:sz w:val="24"/>
        </w:rPr>
        <w:t>并可整合</w:t>
      </w:r>
      <w:r>
        <w:rPr>
          <w:rFonts w:hint="eastAsia"/>
          <w:sz w:val="24"/>
        </w:rPr>
        <w:t>广西数字赋能经济发展重点实验室、珠江—西江经济带合作发展研究中心、泛北部湾区域研究中心、西南城市与区域发展研究中心、东盟区域与国别研究院等科研平台，校企合作实习基地</w:t>
      </w:r>
      <w:r>
        <w:rPr>
          <w:sz w:val="24"/>
        </w:rPr>
        <w:t>以及学校东南亚语言文化、国际学生资源等平台资源，为数字经济专业建设提供课程、师资、科研和实践支撑。拟设数字经济专业可立足经济学门类，突出“经济学基础+数字技术工具+东盟应用场景”的培养特色，面向数字贸易、数字金融、产业数字化、平台运营、数据治理和跨境数字经济等方向，培养兼具经济学理论基础、数据分析能力、数字平台理解能力、跨境数字贸易知识和东盟区域理解的复合型、应用型人才。总体来看，广西师范大学经济</w:t>
      </w:r>
      <w:r>
        <w:rPr>
          <w:rFonts w:hint="eastAsia"/>
          <w:sz w:val="24"/>
        </w:rPr>
        <w:t>管理</w:t>
      </w:r>
      <w:r>
        <w:rPr>
          <w:sz w:val="24"/>
        </w:rPr>
        <w:t>学院设置数字经济本科专业具有较强的政策契合度、区域适应性和办学可行性，对推动经济学科数字化转型、服务广西数字经济发展和深化</w:t>
      </w:r>
      <w:r>
        <w:rPr>
          <w:rFonts w:hint="eastAsia"/>
          <w:sz w:val="24"/>
        </w:rPr>
        <w:t>中国—东盟间的</w:t>
      </w:r>
      <w:r>
        <w:rPr>
          <w:sz w:val="24"/>
        </w:rPr>
        <w:t>数字经贸合作具有积极意义。</w:t>
      </w:r>
    </w:p>
    <w:p>
      <w:pPr>
        <w:spacing w:line="360" w:lineRule="auto"/>
        <w:ind w:firstLine="482" w:firstLineChars="200"/>
        <w:rPr>
          <w:sz w:val="24"/>
        </w:rPr>
      </w:pPr>
      <w:r>
        <w:rPr>
          <w:b/>
          <w:bCs/>
          <w:sz w:val="24"/>
        </w:rPr>
        <w:t>关键词：</w:t>
      </w:r>
      <w:r>
        <w:rPr>
          <w:sz w:val="24"/>
        </w:rPr>
        <w:t>数字经济  新文科  东盟合作  跨境数字贸易  复合型人才培养</w:t>
      </w:r>
    </w:p>
    <w:p>
      <w:pPr>
        <w:sectPr>
          <w:footerReference r:id="rId8" w:type="default"/>
          <w:footnotePr>
            <w:numFmt w:val="decimalEnclosedCircleChinese"/>
            <w:numRestart w:val="eachPage"/>
          </w:footnotePr>
          <w:pgSz w:w="11906" w:h="16838"/>
          <w:pgMar w:top="1440" w:right="1797" w:bottom="1440" w:left="1797" w:header="720" w:footer="720" w:gutter="0"/>
          <w:pgNumType w:fmt="upperRoman" w:start="1"/>
          <w:cols w:space="720" w:num="1"/>
          <w:docGrid w:linePitch="360" w:charSpace="0"/>
        </w:sectPr>
      </w:pPr>
    </w:p>
    <w:sdt>
      <w:sdtPr>
        <w:rPr>
          <w:rFonts w:ascii="Times New Roman" w:hAnsi="Times New Roman" w:eastAsia="宋体" w:cs="Times New Roman"/>
          <w:color w:val="auto"/>
          <w:kern w:val="2"/>
          <w:sz w:val="24"/>
          <w:szCs w:val="22"/>
          <w:lang w:val="zh-CN" w:eastAsia="en-US"/>
        </w:rPr>
        <w:id w:val="-1696688906"/>
        <w:docPartObj>
          <w:docPartGallery w:val="Table of Contents"/>
          <w:docPartUnique/>
        </w:docPartObj>
      </w:sdtPr>
      <w:sdtEndPr>
        <w:rPr>
          <w:rFonts w:ascii="Calibri" w:hAnsi="Calibri" w:eastAsia="宋体" w:cs="Times New Roman"/>
          <w:b/>
          <w:bCs/>
          <w:color w:val="auto"/>
          <w:kern w:val="2"/>
          <w:sz w:val="21"/>
          <w:szCs w:val="24"/>
          <w:lang w:val="zh-CN" w:eastAsia="zh-CN"/>
        </w:rPr>
      </w:sdtEndPr>
      <w:sdtContent>
        <w:p>
          <w:pPr>
            <w:pStyle w:val="178"/>
            <w:spacing w:before="0" w:line="240" w:lineRule="auto"/>
            <w:jc w:val="center"/>
            <w:rPr>
              <w:rFonts w:hint="eastAsia" w:ascii="黑体" w:hAnsi="黑体" w:eastAsia="黑体" w:cs="微软雅黑"/>
              <w:color w:val="auto"/>
              <w:lang w:val="zh-CN"/>
            </w:rPr>
          </w:pPr>
          <w:r>
            <w:rPr>
              <w:rFonts w:ascii="黑体" w:hAnsi="黑体" w:eastAsia="黑体"/>
              <w:color w:val="auto"/>
              <w:lang w:val="zh-CN"/>
            </w:rPr>
            <w:t>目</w:t>
          </w:r>
          <w:r>
            <w:rPr>
              <w:rFonts w:hint="eastAsia" w:ascii="黑体" w:hAnsi="黑体" w:eastAsia="黑体"/>
              <w:color w:val="auto"/>
              <w:lang w:val="zh-CN"/>
            </w:rPr>
            <w:t xml:space="preserve">    </w:t>
          </w:r>
          <w:r>
            <w:rPr>
              <w:rFonts w:hint="eastAsia" w:ascii="黑体" w:hAnsi="黑体" w:eastAsia="黑体" w:cs="微软雅黑"/>
              <w:color w:val="auto"/>
              <w:lang w:val="zh-CN"/>
            </w:rPr>
            <w:t>录</w:t>
          </w:r>
        </w:p>
        <w:p>
          <w:pPr>
            <w:spacing w:line="400" w:lineRule="atLeast"/>
            <w:rPr>
              <w:sz w:val="24"/>
              <w:lang w:val="zh-CN"/>
            </w:rPr>
          </w:pPr>
        </w:p>
        <w:p>
          <w:pPr>
            <w:pStyle w:val="29"/>
            <w:tabs>
              <w:tab w:val="right" w:leader="dot" w:pos="8312"/>
            </w:tabs>
            <w:spacing w:line="400" w:lineRule="atLeast"/>
          </w:pPr>
          <w:r>
            <w:rPr>
              <w:szCs w:val="24"/>
            </w:rPr>
            <w:fldChar w:fldCharType="begin"/>
          </w:r>
          <w:r>
            <w:rPr>
              <w:szCs w:val="24"/>
            </w:rPr>
            <w:instrText xml:space="preserve"> TOC \o "1-3" \h \z \u </w:instrText>
          </w:r>
          <w:r>
            <w:rPr>
              <w:szCs w:val="24"/>
            </w:rPr>
            <w:fldChar w:fldCharType="separate"/>
          </w:r>
          <w:r>
            <w:fldChar w:fldCharType="begin"/>
          </w:r>
          <w:r>
            <w:instrText xml:space="preserve"> HYPERLINK \l "_Toc21938" </w:instrText>
          </w:r>
          <w:r>
            <w:fldChar w:fldCharType="separate"/>
          </w:r>
          <w:r>
            <w:t>摘</w:t>
          </w:r>
          <w:r>
            <w:rPr>
              <w:rFonts w:hint="eastAsia"/>
            </w:rPr>
            <w:t xml:space="preserve"> </w:t>
          </w:r>
          <w:r>
            <w:t>要</w:t>
          </w:r>
          <w:r>
            <w:tab/>
          </w:r>
          <w:r>
            <w:fldChar w:fldCharType="begin"/>
          </w:r>
          <w:r>
            <w:instrText xml:space="preserve"> PAGEREF _Toc21938 \h </w:instrText>
          </w:r>
          <w:r>
            <w:fldChar w:fldCharType="separate"/>
          </w:r>
          <w:r>
            <w:t>I</w:t>
          </w:r>
          <w:r>
            <w:fldChar w:fldCharType="end"/>
          </w:r>
          <w:r>
            <w:fldChar w:fldCharType="end"/>
          </w:r>
        </w:p>
        <w:p>
          <w:pPr>
            <w:pStyle w:val="29"/>
            <w:tabs>
              <w:tab w:val="right" w:leader="dot" w:pos="8312"/>
            </w:tabs>
            <w:spacing w:line="400" w:lineRule="atLeast"/>
          </w:pPr>
          <w:r>
            <w:fldChar w:fldCharType="begin"/>
          </w:r>
          <w:r>
            <w:instrText xml:space="preserve"> HYPERLINK \l "_Toc20404" </w:instrText>
          </w:r>
          <w:r>
            <w:fldChar w:fldCharType="separate"/>
          </w:r>
          <w:r>
            <w:rPr>
              <w:szCs w:val="24"/>
            </w:rPr>
            <w:t>一、引言</w:t>
          </w:r>
          <w:r>
            <w:tab/>
          </w:r>
          <w:r>
            <w:fldChar w:fldCharType="begin"/>
          </w:r>
          <w:r>
            <w:instrText xml:space="preserve"> PAGEREF _Toc20404 \h </w:instrText>
          </w:r>
          <w:r>
            <w:fldChar w:fldCharType="separate"/>
          </w:r>
          <w:r>
            <w:t>2</w:t>
          </w:r>
          <w:r>
            <w:fldChar w:fldCharType="end"/>
          </w:r>
          <w:r>
            <w:fldChar w:fldCharType="end"/>
          </w:r>
        </w:p>
        <w:p>
          <w:pPr>
            <w:pStyle w:val="33"/>
            <w:tabs>
              <w:tab w:val="right" w:leader="dot" w:pos="8312"/>
              <w:tab w:val="clear" w:pos="8302"/>
            </w:tabs>
            <w:spacing w:line="400" w:lineRule="atLeast"/>
            <w:ind w:firstLine="480"/>
          </w:pPr>
          <w:r>
            <w:fldChar w:fldCharType="begin"/>
          </w:r>
          <w:r>
            <w:instrText xml:space="preserve"> HYPERLINK \l "_Toc29232" </w:instrText>
          </w:r>
          <w:r>
            <w:fldChar w:fldCharType="separate"/>
          </w:r>
          <w:r>
            <w:rPr>
              <w:szCs w:val="24"/>
            </w:rPr>
            <w:t>1.1 调研背景</w:t>
          </w:r>
          <w:r>
            <w:tab/>
          </w:r>
          <w:r>
            <w:fldChar w:fldCharType="begin"/>
          </w:r>
          <w:r>
            <w:instrText xml:space="preserve"> PAGEREF _Toc29232 \h </w:instrText>
          </w:r>
          <w:r>
            <w:fldChar w:fldCharType="separate"/>
          </w:r>
          <w:r>
            <w:t>2</w:t>
          </w:r>
          <w:r>
            <w:fldChar w:fldCharType="end"/>
          </w:r>
          <w:r>
            <w:fldChar w:fldCharType="end"/>
          </w:r>
        </w:p>
        <w:p>
          <w:pPr>
            <w:pStyle w:val="33"/>
            <w:tabs>
              <w:tab w:val="right" w:leader="dot" w:pos="8312"/>
              <w:tab w:val="clear" w:pos="8302"/>
            </w:tabs>
            <w:spacing w:line="400" w:lineRule="atLeast"/>
            <w:ind w:firstLine="480"/>
          </w:pPr>
          <w:r>
            <w:fldChar w:fldCharType="begin"/>
          </w:r>
          <w:r>
            <w:instrText xml:space="preserve"> HYPERLINK \l "_Toc28901" </w:instrText>
          </w:r>
          <w:r>
            <w:fldChar w:fldCharType="separate"/>
          </w:r>
          <w:r>
            <w:rPr>
              <w:szCs w:val="24"/>
            </w:rPr>
            <w:t>1.2 调研目的</w:t>
          </w:r>
          <w:r>
            <w:tab/>
          </w:r>
          <w:r>
            <w:fldChar w:fldCharType="begin"/>
          </w:r>
          <w:r>
            <w:instrText xml:space="preserve"> PAGEREF _Toc28901 \h </w:instrText>
          </w:r>
          <w:r>
            <w:fldChar w:fldCharType="separate"/>
          </w:r>
          <w:r>
            <w:t>3</w:t>
          </w:r>
          <w:r>
            <w:fldChar w:fldCharType="end"/>
          </w:r>
          <w:r>
            <w:fldChar w:fldCharType="end"/>
          </w:r>
        </w:p>
        <w:p>
          <w:pPr>
            <w:pStyle w:val="33"/>
            <w:tabs>
              <w:tab w:val="right" w:leader="dot" w:pos="8312"/>
              <w:tab w:val="clear" w:pos="8302"/>
            </w:tabs>
            <w:spacing w:line="400" w:lineRule="atLeast"/>
            <w:ind w:firstLine="480"/>
          </w:pPr>
          <w:r>
            <w:fldChar w:fldCharType="begin"/>
          </w:r>
          <w:r>
            <w:instrText xml:space="preserve"> HYPERLINK \l "_Toc15161" </w:instrText>
          </w:r>
          <w:r>
            <w:fldChar w:fldCharType="separate"/>
          </w:r>
          <w:r>
            <w:rPr>
              <w:szCs w:val="24"/>
            </w:rPr>
            <w:t>1.3 调研方法与数据来源说明</w:t>
          </w:r>
          <w:r>
            <w:tab/>
          </w:r>
          <w:r>
            <w:fldChar w:fldCharType="begin"/>
          </w:r>
          <w:r>
            <w:instrText xml:space="preserve"> PAGEREF _Toc15161 \h </w:instrText>
          </w:r>
          <w:r>
            <w:fldChar w:fldCharType="separate"/>
          </w:r>
          <w:r>
            <w:t>4</w:t>
          </w:r>
          <w:r>
            <w:fldChar w:fldCharType="end"/>
          </w:r>
          <w:r>
            <w:fldChar w:fldCharType="end"/>
          </w:r>
        </w:p>
        <w:p>
          <w:pPr>
            <w:pStyle w:val="29"/>
            <w:tabs>
              <w:tab w:val="right" w:leader="dot" w:pos="8312"/>
            </w:tabs>
            <w:spacing w:line="400" w:lineRule="atLeast"/>
          </w:pPr>
          <w:r>
            <w:fldChar w:fldCharType="begin"/>
          </w:r>
          <w:r>
            <w:instrText xml:space="preserve"> HYPERLINK \l "_Toc24082" </w:instrText>
          </w:r>
          <w:r>
            <w:fldChar w:fldCharType="separate"/>
          </w:r>
          <w:r>
            <w:rPr>
              <w:szCs w:val="24"/>
            </w:rPr>
            <w:t>二、数字经济的内涵界定与专业定位</w:t>
          </w:r>
          <w:r>
            <w:tab/>
          </w:r>
          <w:r>
            <w:fldChar w:fldCharType="begin"/>
          </w:r>
          <w:r>
            <w:instrText xml:space="preserve"> PAGEREF _Toc24082 \h </w:instrText>
          </w:r>
          <w:r>
            <w:fldChar w:fldCharType="separate"/>
          </w:r>
          <w:r>
            <w:t>4</w:t>
          </w:r>
          <w:r>
            <w:fldChar w:fldCharType="end"/>
          </w:r>
          <w:r>
            <w:fldChar w:fldCharType="end"/>
          </w:r>
        </w:p>
        <w:p>
          <w:pPr>
            <w:pStyle w:val="33"/>
            <w:tabs>
              <w:tab w:val="right" w:leader="dot" w:pos="8312"/>
              <w:tab w:val="clear" w:pos="8302"/>
            </w:tabs>
            <w:spacing w:line="400" w:lineRule="atLeast"/>
            <w:ind w:firstLine="480"/>
          </w:pPr>
          <w:r>
            <w:fldChar w:fldCharType="begin"/>
          </w:r>
          <w:r>
            <w:instrText xml:space="preserve"> HYPERLINK \l "_Toc12409" </w:instrText>
          </w:r>
          <w:r>
            <w:fldChar w:fldCharType="separate"/>
          </w:r>
          <w:r>
            <w:rPr>
              <w:szCs w:val="24"/>
            </w:rPr>
            <w:t>2.1 数字经济的官方定义与统计范畴</w:t>
          </w:r>
          <w:r>
            <w:tab/>
          </w:r>
          <w:r>
            <w:fldChar w:fldCharType="begin"/>
          </w:r>
          <w:r>
            <w:instrText xml:space="preserve"> PAGEREF _Toc12409 \h </w:instrText>
          </w:r>
          <w:r>
            <w:fldChar w:fldCharType="separate"/>
          </w:r>
          <w:r>
            <w:t>4</w:t>
          </w:r>
          <w:r>
            <w:fldChar w:fldCharType="end"/>
          </w:r>
          <w:r>
            <w:fldChar w:fldCharType="end"/>
          </w:r>
        </w:p>
        <w:p>
          <w:pPr>
            <w:pStyle w:val="33"/>
            <w:tabs>
              <w:tab w:val="right" w:leader="dot" w:pos="8312"/>
              <w:tab w:val="clear" w:pos="8302"/>
            </w:tabs>
            <w:spacing w:line="400" w:lineRule="atLeast"/>
            <w:ind w:firstLine="480"/>
          </w:pPr>
          <w:r>
            <w:fldChar w:fldCharType="begin"/>
          </w:r>
          <w:r>
            <w:instrText xml:space="preserve"> HYPERLINK \l "_Toc1828" </w:instrText>
          </w:r>
          <w:r>
            <w:fldChar w:fldCharType="separate"/>
          </w:r>
          <w:r>
            <w:rPr>
              <w:szCs w:val="24"/>
            </w:rPr>
            <w:t>2.2 数字经济专业的学科归属与培养定位</w:t>
          </w:r>
          <w:r>
            <w:tab/>
          </w:r>
          <w:r>
            <w:fldChar w:fldCharType="begin"/>
          </w:r>
          <w:r>
            <w:instrText xml:space="preserve"> PAGEREF _Toc1828 \h </w:instrText>
          </w:r>
          <w:r>
            <w:fldChar w:fldCharType="separate"/>
          </w:r>
          <w:r>
            <w:t>5</w:t>
          </w:r>
          <w:r>
            <w:fldChar w:fldCharType="end"/>
          </w:r>
          <w:r>
            <w:fldChar w:fldCharType="end"/>
          </w:r>
        </w:p>
        <w:p>
          <w:pPr>
            <w:pStyle w:val="33"/>
            <w:tabs>
              <w:tab w:val="right" w:leader="dot" w:pos="8312"/>
              <w:tab w:val="clear" w:pos="8302"/>
            </w:tabs>
            <w:spacing w:line="400" w:lineRule="atLeast"/>
            <w:ind w:firstLine="480"/>
          </w:pPr>
          <w:r>
            <w:fldChar w:fldCharType="begin"/>
          </w:r>
          <w:r>
            <w:instrText xml:space="preserve"> HYPERLINK \l "_Toc23922" </w:instrText>
          </w:r>
          <w:r>
            <w:fldChar w:fldCharType="separate"/>
          </w:r>
          <w:r>
            <w:rPr>
              <w:szCs w:val="24"/>
            </w:rPr>
            <w:t>2.3 发展历程</w:t>
          </w:r>
          <w:r>
            <w:tab/>
          </w:r>
          <w:r>
            <w:fldChar w:fldCharType="begin"/>
          </w:r>
          <w:r>
            <w:instrText xml:space="preserve"> PAGEREF _Toc23922 \h </w:instrText>
          </w:r>
          <w:r>
            <w:fldChar w:fldCharType="separate"/>
          </w:r>
          <w:r>
            <w:t>7</w:t>
          </w:r>
          <w:r>
            <w:fldChar w:fldCharType="end"/>
          </w:r>
          <w:r>
            <w:fldChar w:fldCharType="end"/>
          </w:r>
        </w:p>
        <w:p>
          <w:pPr>
            <w:pStyle w:val="29"/>
            <w:tabs>
              <w:tab w:val="right" w:leader="dot" w:pos="8312"/>
            </w:tabs>
            <w:spacing w:line="400" w:lineRule="atLeast"/>
          </w:pPr>
          <w:r>
            <w:fldChar w:fldCharType="begin"/>
          </w:r>
          <w:r>
            <w:instrText xml:space="preserve"> HYPERLINK \l "_Toc16328" </w:instrText>
          </w:r>
          <w:r>
            <w:fldChar w:fldCharType="separate"/>
          </w:r>
          <w:r>
            <w:rPr>
              <w:szCs w:val="24"/>
            </w:rPr>
            <w:t>三、产业链深度拆解：上中下游协同发展的网络化生态</w:t>
          </w:r>
          <w:r>
            <w:tab/>
          </w:r>
          <w:r>
            <w:fldChar w:fldCharType="begin"/>
          </w:r>
          <w:r>
            <w:instrText xml:space="preserve"> PAGEREF _Toc16328 \h </w:instrText>
          </w:r>
          <w:r>
            <w:fldChar w:fldCharType="separate"/>
          </w:r>
          <w:r>
            <w:t>7</w:t>
          </w:r>
          <w:r>
            <w:fldChar w:fldCharType="end"/>
          </w:r>
          <w:r>
            <w:fldChar w:fldCharType="end"/>
          </w:r>
        </w:p>
        <w:p>
          <w:pPr>
            <w:pStyle w:val="33"/>
            <w:tabs>
              <w:tab w:val="right" w:leader="dot" w:pos="8312"/>
              <w:tab w:val="clear" w:pos="8302"/>
            </w:tabs>
            <w:spacing w:line="400" w:lineRule="atLeast"/>
            <w:ind w:firstLine="480"/>
          </w:pPr>
          <w:r>
            <w:fldChar w:fldCharType="begin"/>
          </w:r>
          <w:r>
            <w:instrText xml:space="preserve"> HYPERLINK \l "_Toc19569" </w:instrText>
          </w:r>
          <w:r>
            <w:fldChar w:fldCharType="separate"/>
          </w:r>
          <w:r>
            <w:rPr>
              <w:szCs w:val="24"/>
            </w:rPr>
            <w:t>3.1 上游：数字基础设施与数据资源供给</w:t>
          </w:r>
          <w:r>
            <w:tab/>
          </w:r>
          <w:r>
            <w:fldChar w:fldCharType="begin"/>
          </w:r>
          <w:r>
            <w:instrText xml:space="preserve"> PAGEREF _Toc19569 \h </w:instrText>
          </w:r>
          <w:r>
            <w:fldChar w:fldCharType="separate"/>
          </w:r>
          <w:r>
            <w:t>7</w:t>
          </w:r>
          <w:r>
            <w:fldChar w:fldCharType="end"/>
          </w:r>
          <w:r>
            <w:fldChar w:fldCharType="end"/>
          </w:r>
        </w:p>
        <w:p>
          <w:pPr>
            <w:pStyle w:val="33"/>
            <w:tabs>
              <w:tab w:val="right" w:leader="dot" w:pos="8312"/>
              <w:tab w:val="clear" w:pos="8302"/>
            </w:tabs>
            <w:spacing w:line="400" w:lineRule="atLeast"/>
            <w:ind w:firstLine="480"/>
          </w:pPr>
          <w:r>
            <w:fldChar w:fldCharType="begin"/>
          </w:r>
          <w:r>
            <w:instrText xml:space="preserve"> HYPERLINK \l "_Toc8490" </w:instrText>
          </w:r>
          <w:r>
            <w:fldChar w:fldCharType="separate"/>
          </w:r>
          <w:r>
            <w:rPr>
              <w:szCs w:val="24"/>
            </w:rPr>
            <w:t>3.2 中游：数字技术产业化</w:t>
          </w:r>
          <w:r>
            <w:tab/>
          </w:r>
          <w:r>
            <w:fldChar w:fldCharType="begin"/>
          </w:r>
          <w:r>
            <w:instrText xml:space="preserve"> PAGEREF _Toc8490 \h </w:instrText>
          </w:r>
          <w:r>
            <w:fldChar w:fldCharType="separate"/>
          </w:r>
          <w:r>
            <w:t>8</w:t>
          </w:r>
          <w:r>
            <w:fldChar w:fldCharType="end"/>
          </w:r>
          <w:r>
            <w:fldChar w:fldCharType="end"/>
          </w:r>
        </w:p>
        <w:p>
          <w:pPr>
            <w:pStyle w:val="33"/>
            <w:tabs>
              <w:tab w:val="right" w:leader="dot" w:pos="8312"/>
              <w:tab w:val="clear" w:pos="8302"/>
            </w:tabs>
            <w:spacing w:line="400" w:lineRule="atLeast"/>
            <w:ind w:firstLine="480"/>
          </w:pPr>
          <w:r>
            <w:fldChar w:fldCharType="begin"/>
          </w:r>
          <w:r>
            <w:instrText xml:space="preserve"> HYPERLINK \l "_Toc12758" </w:instrText>
          </w:r>
          <w:r>
            <w:fldChar w:fldCharType="separate"/>
          </w:r>
          <w:r>
            <w:rPr>
              <w:szCs w:val="24"/>
            </w:rPr>
            <w:t>3.3 下游：产业数字化与数字贸易</w:t>
          </w:r>
          <w:r>
            <w:tab/>
          </w:r>
          <w:r>
            <w:fldChar w:fldCharType="begin"/>
          </w:r>
          <w:r>
            <w:instrText xml:space="preserve"> PAGEREF _Toc12758 \h </w:instrText>
          </w:r>
          <w:r>
            <w:fldChar w:fldCharType="separate"/>
          </w:r>
          <w:r>
            <w:t>8</w:t>
          </w:r>
          <w:r>
            <w:fldChar w:fldCharType="end"/>
          </w:r>
          <w:r>
            <w:fldChar w:fldCharType="end"/>
          </w:r>
        </w:p>
        <w:p>
          <w:pPr>
            <w:pStyle w:val="33"/>
            <w:tabs>
              <w:tab w:val="right" w:leader="dot" w:pos="8312"/>
              <w:tab w:val="clear" w:pos="8302"/>
            </w:tabs>
            <w:spacing w:line="400" w:lineRule="atLeast"/>
            <w:ind w:firstLine="480"/>
          </w:pPr>
          <w:r>
            <w:fldChar w:fldCharType="begin"/>
          </w:r>
          <w:r>
            <w:instrText xml:space="preserve"> HYPERLINK \l "_Toc5755" </w:instrText>
          </w:r>
          <w:r>
            <w:fldChar w:fldCharType="separate"/>
          </w:r>
          <w:r>
            <w:rPr>
              <w:szCs w:val="24"/>
            </w:rPr>
            <w:t>3.4 支撑体系：制度环境与人才供给</w:t>
          </w:r>
          <w:r>
            <w:tab/>
          </w:r>
          <w:r>
            <w:fldChar w:fldCharType="begin"/>
          </w:r>
          <w:r>
            <w:instrText xml:space="preserve"> PAGEREF _Toc5755 \h </w:instrText>
          </w:r>
          <w:r>
            <w:fldChar w:fldCharType="separate"/>
          </w:r>
          <w:r>
            <w:t>9</w:t>
          </w:r>
          <w:r>
            <w:fldChar w:fldCharType="end"/>
          </w:r>
          <w:r>
            <w:fldChar w:fldCharType="end"/>
          </w:r>
        </w:p>
        <w:p>
          <w:pPr>
            <w:pStyle w:val="29"/>
            <w:tabs>
              <w:tab w:val="right" w:leader="dot" w:pos="8312"/>
            </w:tabs>
            <w:spacing w:line="400" w:lineRule="atLeast"/>
          </w:pPr>
          <w:r>
            <w:fldChar w:fldCharType="begin"/>
          </w:r>
          <w:r>
            <w:instrText xml:space="preserve"> HYPERLINK \l "_Toc6907" </w:instrText>
          </w:r>
          <w:r>
            <w:fldChar w:fldCharType="separate"/>
          </w:r>
          <w:r>
            <w:rPr>
              <w:szCs w:val="24"/>
            </w:rPr>
            <w:t>四、行业现状与市场规模</w:t>
          </w:r>
          <w:r>
            <w:tab/>
          </w:r>
          <w:r>
            <w:fldChar w:fldCharType="begin"/>
          </w:r>
          <w:r>
            <w:instrText xml:space="preserve"> PAGEREF _Toc6907 \h </w:instrText>
          </w:r>
          <w:r>
            <w:fldChar w:fldCharType="separate"/>
          </w:r>
          <w:r>
            <w:t>10</w:t>
          </w:r>
          <w:r>
            <w:fldChar w:fldCharType="end"/>
          </w:r>
          <w:r>
            <w:fldChar w:fldCharType="end"/>
          </w:r>
        </w:p>
        <w:p>
          <w:pPr>
            <w:pStyle w:val="33"/>
            <w:tabs>
              <w:tab w:val="right" w:leader="dot" w:pos="8312"/>
              <w:tab w:val="clear" w:pos="8302"/>
            </w:tabs>
            <w:spacing w:line="400" w:lineRule="atLeast"/>
            <w:ind w:firstLine="480"/>
          </w:pPr>
          <w:r>
            <w:fldChar w:fldCharType="begin"/>
          </w:r>
          <w:r>
            <w:instrText xml:space="preserve"> HYPERLINK \l "_Toc21213" </w:instrText>
          </w:r>
          <w:r>
            <w:fldChar w:fldCharType="separate"/>
          </w:r>
          <w:r>
            <w:rPr>
              <w:szCs w:val="24"/>
            </w:rPr>
            <w:t>4.1 全国市场规模</w:t>
          </w:r>
          <w:r>
            <w:tab/>
          </w:r>
          <w:r>
            <w:fldChar w:fldCharType="begin"/>
          </w:r>
          <w:r>
            <w:instrText xml:space="preserve"> PAGEREF _Toc21213 \h </w:instrText>
          </w:r>
          <w:r>
            <w:fldChar w:fldCharType="separate"/>
          </w:r>
          <w:r>
            <w:t>10</w:t>
          </w:r>
          <w:r>
            <w:fldChar w:fldCharType="end"/>
          </w:r>
          <w:r>
            <w:fldChar w:fldCharType="end"/>
          </w:r>
        </w:p>
        <w:p>
          <w:pPr>
            <w:pStyle w:val="33"/>
            <w:tabs>
              <w:tab w:val="right" w:leader="dot" w:pos="8312"/>
              <w:tab w:val="clear" w:pos="8302"/>
            </w:tabs>
            <w:spacing w:line="400" w:lineRule="atLeast"/>
            <w:ind w:firstLine="480"/>
          </w:pPr>
          <w:r>
            <w:fldChar w:fldCharType="begin"/>
          </w:r>
          <w:r>
            <w:instrText xml:space="preserve"> HYPERLINK \l "_Toc1283" </w:instrText>
          </w:r>
          <w:r>
            <w:fldChar w:fldCharType="separate"/>
          </w:r>
          <w:r>
            <w:rPr>
              <w:szCs w:val="24"/>
            </w:rPr>
            <w:t>4.2 广西区域市场</w:t>
          </w:r>
          <w:r>
            <w:tab/>
          </w:r>
          <w:r>
            <w:fldChar w:fldCharType="begin"/>
          </w:r>
          <w:r>
            <w:instrText xml:space="preserve"> PAGEREF _Toc1283 \h </w:instrText>
          </w:r>
          <w:r>
            <w:fldChar w:fldCharType="separate"/>
          </w:r>
          <w:r>
            <w:t>10</w:t>
          </w:r>
          <w:r>
            <w:fldChar w:fldCharType="end"/>
          </w:r>
          <w:r>
            <w:fldChar w:fldCharType="end"/>
          </w:r>
        </w:p>
        <w:p>
          <w:pPr>
            <w:pStyle w:val="33"/>
            <w:tabs>
              <w:tab w:val="right" w:leader="dot" w:pos="8312"/>
              <w:tab w:val="clear" w:pos="8302"/>
            </w:tabs>
            <w:spacing w:line="400" w:lineRule="atLeast"/>
            <w:ind w:firstLine="480"/>
          </w:pPr>
          <w:r>
            <w:fldChar w:fldCharType="begin"/>
          </w:r>
          <w:r>
            <w:instrText xml:space="preserve"> HYPERLINK \l "_Toc9056" </w:instrText>
          </w:r>
          <w:r>
            <w:fldChar w:fldCharType="separate"/>
          </w:r>
          <w:r>
            <w:rPr>
              <w:szCs w:val="24"/>
            </w:rPr>
            <w:t>4.3 细分领域增长亮点</w:t>
          </w:r>
          <w:r>
            <w:tab/>
          </w:r>
          <w:r>
            <w:fldChar w:fldCharType="begin"/>
          </w:r>
          <w:r>
            <w:instrText xml:space="preserve"> PAGEREF _Toc9056 \h </w:instrText>
          </w:r>
          <w:r>
            <w:fldChar w:fldCharType="separate"/>
          </w:r>
          <w:r>
            <w:t>12</w:t>
          </w:r>
          <w:r>
            <w:fldChar w:fldCharType="end"/>
          </w:r>
          <w:r>
            <w:fldChar w:fldCharType="end"/>
          </w:r>
        </w:p>
        <w:p>
          <w:pPr>
            <w:pStyle w:val="33"/>
            <w:tabs>
              <w:tab w:val="right" w:leader="dot" w:pos="8312"/>
              <w:tab w:val="clear" w:pos="8302"/>
            </w:tabs>
            <w:spacing w:line="400" w:lineRule="atLeast"/>
            <w:ind w:firstLine="480"/>
          </w:pPr>
          <w:r>
            <w:fldChar w:fldCharType="begin"/>
          </w:r>
          <w:r>
            <w:instrText xml:space="preserve"> HYPERLINK \l "_Toc9035" </w:instrText>
          </w:r>
          <w:r>
            <w:fldChar w:fldCharType="separate"/>
          </w:r>
          <w:r>
            <w:rPr>
              <w:szCs w:val="24"/>
            </w:rPr>
            <w:t>4.4 政策支持与法规环境</w:t>
          </w:r>
          <w:r>
            <w:tab/>
          </w:r>
          <w:r>
            <w:fldChar w:fldCharType="begin"/>
          </w:r>
          <w:r>
            <w:instrText xml:space="preserve"> PAGEREF _Toc9035 \h </w:instrText>
          </w:r>
          <w:r>
            <w:fldChar w:fldCharType="separate"/>
          </w:r>
          <w:r>
            <w:t>12</w:t>
          </w:r>
          <w:r>
            <w:fldChar w:fldCharType="end"/>
          </w:r>
          <w:r>
            <w:fldChar w:fldCharType="end"/>
          </w:r>
        </w:p>
        <w:p>
          <w:pPr>
            <w:pStyle w:val="33"/>
            <w:tabs>
              <w:tab w:val="right" w:leader="dot" w:pos="8312"/>
              <w:tab w:val="clear" w:pos="8302"/>
            </w:tabs>
            <w:spacing w:line="400" w:lineRule="atLeast"/>
            <w:ind w:firstLine="480"/>
          </w:pPr>
          <w:r>
            <w:fldChar w:fldCharType="begin"/>
          </w:r>
          <w:r>
            <w:instrText xml:space="preserve"> HYPERLINK \l "_Toc26165" </w:instrText>
          </w:r>
          <w:r>
            <w:fldChar w:fldCharType="separate"/>
          </w:r>
          <w:r>
            <w:rPr>
              <w:szCs w:val="24"/>
            </w:rPr>
            <w:t>4.5 技术应用现状</w:t>
          </w:r>
          <w:r>
            <w:tab/>
          </w:r>
          <w:r>
            <w:fldChar w:fldCharType="begin"/>
          </w:r>
          <w:r>
            <w:instrText xml:space="preserve"> PAGEREF _Toc26165 \h </w:instrText>
          </w:r>
          <w:r>
            <w:fldChar w:fldCharType="separate"/>
          </w:r>
          <w:r>
            <w:t>13</w:t>
          </w:r>
          <w:r>
            <w:fldChar w:fldCharType="end"/>
          </w:r>
          <w:r>
            <w:fldChar w:fldCharType="end"/>
          </w:r>
        </w:p>
        <w:p>
          <w:pPr>
            <w:pStyle w:val="29"/>
            <w:tabs>
              <w:tab w:val="right" w:leader="dot" w:pos="8312"/>
            </w:tabs>
            <w:spacing w:line="400" w:lineRule="atLeast"/>
          </w:pPr>
          <w:r>
            <w:fldChar w:fldCharType="begin"/>
          </w:r>
          <w:r>
            <w:instrText xml:space="preserve"> HYPERLINK \l "_Toc6753" </w:instrText>
          </w:r>
          <w:r>
            <w:fldChar w:fldCharType="separate"/>
          </w:r>
          <w:r>
            <w:rPr>
              <w:szCs w:val="24"/>
            </w:rPr>
            <w:t>五、数字经济人才现状</w:t>
          </w:r>
          <w:r>
            <w:tab/>
          </w:r>
          <w:r>
            <w:fldChar w:fldCharType="begin"/>
          </w:r>
          <w:r>
            <w:instrText xml:space="preserve"> PAGEREF _Toc6753 \h </w:instrText>
          </w:r>
          <w:r>
            <w:fldChar w:fldCharType="separate"/>
          </w:r>
          <w:r>
            <w:t>14</w:t>
          </w:r>
          <w:r>
            <w:fldChar w:fldCharType="end"/>
          </w:r>
          <w:r>
            <w:fldChar w:fldCharType="end"/>
          </w:r>
        </w:p>
        <w:p>
          <w:pPr>
            <w:pStyle w:val="33"/>
            <w:tabs>
              <w:tab w:val="right" w:leader="dot" w:pos="8312"/>
              <w:tab w:val="clear" w:pos="8302"/>
            </w:tabs>
            <w:spacing w:line="400" w:lineRule="atLeast"/>
            <w:ind w:firstLine="480"/>
          </w:pPr>
          <w:r>
            <w:fldChar w:fldCharType="begin"/>
          </w:r>
          <w:r>
            <w:instrText xml:space="preserve"> HYPERLINK \l "_Toc30798" </w:instrText>
          </w:r>
          <w:r>
            <w:fldChar w:fldCharType="separate"/>
          </w:r>
          <w:r>
            <w:rPr>
              <w:szCs w:val="24"/>
            </w:rPr>
            <w:t>5.1 全国层面：人才缺口巨大且结构性矛盾突出</w:t>
          </w:r>
          <w:r>
            <w:tab/>
          </w:r>
          <w:r>
            <w:fldChar w:fldCharType="begin"/>
          </w:r>
          <w:r>
            <w:instrText xml:space="preserve"> PAGEREF _Toc30798 \h </w:instrText>
          </w:r>
          <w:r>
            <w:fldChar w:fldCharType="separate"/>
          </w:r>
          <w:r>
            <w:t>14</w:t>
          </w:r>
          <w:r>
            <w:fldChar w:fldCharType="end"/>
          </w:r>
          <w:r>
            <w:fldChar w:fldCharType="end"/>
          </w:r>
        </w:p>
        <w:p>
          <w:pPr>
            <w:pStyle w:val="33"/>
            <w:tabs>
              <w:tab w:val="right" w:leader="dot" w:pos="8312"/>
              <w:tab w:val="clear" w:pos="8302"/>
            </w:tabs>
            <w:spacing w:line="400" w:lineRule="atLeast"/>
            <w:ind w:firstLine="480"/>
          </w:pPr>
          <w:r>
            <w:fldChar w:fldCharType="begin"/>
          </w:r>
          <w:r>
            <w:instrText xml:space="preserve"> HYPERLINK \l "_Toc23462" </w:instrText>
          </w:r>
          <w:r>
            <w:fldChar w:fldCharType="separate"/>
          </w:r>
          <w:r>
            <w:rPr>
              <w:szCs w:val="24"/>
            </w:rPr>
            <w:t>5.2 广西区域：人才短板更为突出</w:t>
          </w:r>
          <w:r>
            <w:tab/>
          </w:r>
          <w:r>
            <w:fldChar w:fldCharType="begin"/>
          </w:r>
          <w:r>
            <w:instrText xml:space="preserve"> PAGEREF _Toc23462 \h </w:instrText>
          </w:r>
          <w:r>
            <w:fldChar w:fldCharType="separate"/>
          </w:r>
          <w:r>
            <w:t>15</w:t>
          </w:r>
          <w:r>
            <w:fldChar w:fldCharType="end"/>
          </w:r>
          <w:r>
            <w:fldChar w:fldCharType="end"/>
          </w:r>
        </w:p>
        <w:p>
          <w:pPr>
            <w:pStyle w:val="33"/>
            <w:tabs>
              <w:tab w:val="right" w:leader="dot" w:pos="8312"/>
              <w:tab w:val="clear" w:pos="8302"/>
            </w:tabs>
            <w:spacing w:line="400" w:lineRule="atLeast"/>
            <w:ind w:firstLine="480"/>
          </w:pPr>
          <w:r>
            <w:fldChar w:fldCharType="begin"/>
          </w:r>
          <w:r>
            <w:instrText xml:space="preserve"> HYPERLINK \l "_Toc13554" </w:instrText>
          </w:r>
          <w:r>
            <w:fldChar w:fldCharType="separate"/>
          </w:r>
          <w:r>
            <w:rPr>
              <w:szCs w:val="24"/>
            </w:rPr>
            <w:t>5.3 师范院校经济学毕业生的竞争力分析</w:t>
          </w:r>
          <w:r>
            <w:tab/>
          </w:r>
          <w:r>
            <w:fldChar w:fldCharType="begin"/>
          </w:r>
          <w:r>
            <w:instrText xml:space="preserve"> PAGEREF _Toc13554 \h </w:instrText>
          </w:r>
          <w:r>
            <w:fldChar w:fldCharType="separate"/>
          </w:r>
          <w:r>
            <w:t>16</w:t>
          </w:r>
          <w:r>
            <w:fldChar w:fldCharType="end"/>
          </w:r>
          <w:r>
            <w:fldChar w:fldCharType="end"/>
          </w:r>
        </w:p>
        <w:p>
          <w:pPr>
            <w:pStyle w:val="29"/>
            <w:tabs>
              <w:tab w:val="right" w:leader="dot" w:pos="8312"/>
            </w:tabs>
            <w:spacing w:line="400" w:lineRule="atLeast"/>
          </w:pPr>
          <w:r>
            <w:fldChar w:fldCharType="begin"/>
          </w:r>
          <w:r>
            <w:instrText xml:space="preserve"> HYPERLINK \l "_Toc28421" </w:instrText>
          </w:r>
          <w:r>
            <w:fldChar w:fldCharType="separate"/>
          </w:r>
          <w:r>
            <w:rPr>
              <w:szCs w:val="24"/>
            </w:rPr>
            <w:t>六、数字经济专业就业前景</w:t>
          </w:r>
          <w:r>
            <w:tab/>
          </w:r>
          <w:r>
            <w:fldChar w:fldCharType="begin"/>
          </w:r>
          <w:r>
            <w:instrText xml:space="preserve"> PAGEREF _Toc28421 \h </w:instrText>
          </w:r>
          <w:r>
            <w:fldChar w:fldCharType="separate"/>
          </w:r>
          <w:r>
            <w:t>17</w:t>
          </w:r>
          <w:r>
            <w:fldChar w:fldCharType="end"/>
          </w:r>
          <w:r>
            <w:fldChar w:fldCharType="end"/>
          </w:r>
        </w:p>
        <w:p>
          <w:pPr>
            <w:pStyle w:val="33"/>
            <w:tabs>
              <w:tab w:val="right" w:leader="dot" w:pos="8312"/>
              <w:tab w:val="clear" w:pos="8302"/>
            </w:tabs>
            <w:spacing w:line="400" w:lineRule="atLeast"/>
            <w:ind w:firstLine="480"/>
          </w:pPr>
          <w:r>
            <w:fldChar w:fldCharType="begin"/>
          </w:r>
          <w:r>
            <w:instrText xml:space="preserve"> HYPERLINK \l "_Toc16152" </w:instrText>
          </w:r>
          <w:r>
            <w:fldChar w:fldCharType="separate"/>
          </w:r>
          <w:r>
            <w:rPr>
              <w:szCs w:val="24"/>
            </w:rPr>
            <w:t>6.1 岗位需求总览</w:t>
          </w:r>
          <w:r>
            <w:tab/>
          </w:r>
          <w:r>
            <w:fldChar w:fldCharType="begin"/>
          </w:r>
          <w:r>
            <w:instrText xml:space="preserve"> PAGEREF _Toc16152 \h </w:instrText>
          </w:r>
          <w:r>
            <w:fldChar w:fldCharType="separate"/>
          </w:r>
          <w:r>
            <w:t>17</w:t>
          </w:r>
          <w:r>
            <w:fldChar w:fldCharType="end"/>
          </w:r>
          <w:r>
            <w:fldChar w:fldCharType="end"/>
          </w:r>
        </w:p>
        <w:p>
          <w:pPr>
            <w:pStyle w:val="33"/>
            <w:tabs>
              <w:tab w:val="right" w:leader="dot" w:pos="8312"/>
              <w:tab w:val="clear" w:pos="8302"/>
            </w:tabs>
            <w:spacing w:line="400" w:lineRule="atLeast"/>
            <w:ind w:firstLine="480"/>
          </w:pPr>
          <w:r>
            <w:fldChar w:fldCharType="begin"/>
          </w:r>
          <w:r>
            <w:instrText xml:space="preserve"> HYPERLINK \l "_Toc9065" </w:instrText>
          </w:r>
          <w:r>
            <w:fldChar w:fldCharType="separate"/>
          </w:r>
          <w:r>
            <w:rPr>
              <w:szCs w:val="24"/>
            </w:rPr>
            <w:t>6.2 关键岗位详细分析</w:t>
          </w:r>
          <w:r>
            <w:tab/>
          </w:r>
          <w:r>
            <w:fldChar w:fldCharType="begin"/>
          </w:r>
          <w:r>
            <w:instrText xml:space="preserve"> PAGEREF _Toc9065 \h </w:instrText>
          </w:r>
          <w:r>
            <w:fldChar w:fldCharType="separate"/>
          </w:r>
          <w:r>
            <w:t>18</w:t>
          </w:r>
          <w:r>
            <w:fldChar w:fldCharType="end"/>
          </w:r>
          <w:r>
            <w:fldChar w:fldCharType="end"/>
          </w:r>
        </w:p>
        <w:p>
          <w:pPr>
            <w:pStyle w:val="33"/>
            <w:tabs>
              <w:tab w:val="right" w:leader="dot" w:pos="8312"/>
              <w:tab w:val="clear" w:pos="8302"/>
            </w:tabs>
            <w:spacing w:line="400" w:lineRule="atLeast"/>
            <w:ind w:firstLine="480"/>
          </w:pPr>
          <w:r>
            <w:fldChar w:fldCharType="begin"/>
          </w:r>
          <w:r>
            <w:instrText xml:space="preserve"> HYPERLINK \l "_Toc19082" </w:instrText>
          </w:r>
          <w:r>
            <w:fldChar w:fldCharType="separate"/>
          </w:r>
          <w:r>
            <w:rPr>
              <w:szCs w:val="24"/>
            </w:rPr>
            <w:t>6.3 就业留存：特色人才有效缓解外流</w:t>
          </w:r>
          <w:r>
            <w:tab/>
          </w:r>
          <w:r>
            <w:fldChar w:fldCharType="begin"/>
          </w:r>
          <w:r>
            <w:instrText xml:space="preserve"> PAGEREF _Toc19082 \h </w:instrText>
          </w:r>
          <w:r>
            <w:fldChar w:fldCharType="separate"/>
          </w:r>
          <w:r>
            <w:t>19</w:t>
          </w:r>
          <w:r>
            <w:fldChar w:fldCharType="end"/>
          </w:r>
          <w:r>
            <w:fldChar w:fldCharType="end"/>
          </w:r>
        </w:p>
        <w:p>
          <w:pPr>
            <w:pStyle w:val="33"/>
            <w:tabs>
              <w:tab w:val="right" w:leader="dot" w:pos="8312"/>
              <w:tab w:val="clear" w:pos="8302"/>
            </w:tabs>
            <w:spacing w:line="400" w:lineRule="atLeast"/>
            <w:ind w:firstLine="480"/>
          </w:pPr>
          <w:r>
            <w:fldChar w:fldCharType="begin"/>
          </w:r>
          <w:r>
            <w:instrText xml:space="preserve"> HYPERLINK \l "_Toc9174" </w:instrText>
          </w:r>
          <w:r>
            <w:fldChar w:fldCharType="separate"/>
          </w:r>
          <w:r>
            <w:rPr>
              <w:szCs w:val="24"/>
            </w:rPr>
            <w:t>6.4 职业发展空间</w:t>
          </w:r>
          <w:r>
            <w:tab/>
          </w:r>
          <w:r>
            <w:fldChar w:fldCharType="begin"/>
          </w:r>
          <w:r>
            <w:instrText xml:space="preserve"> PAGEREF _Toc9174 \h </w:instrText>
          </w:r>
          <w:r>
            <w:fldChar w:fldCharType="separate"/>
          </w:r>
          <w:r>
            <w:t>20</w:t>
          </w:r>
          <w:r>
            <w:fldChar w:fldCharType="end"/>
          </w:r>
          <w:r>
            <w:fldChar w:fldCharType="end"/>
          </w:r>
        </w:p>
        <w:p>
          <w:pPr>
            <w:pStyle w:val="29"/>
            <w:tabs>
              <w:tab w:val="right" w:leader="dot" w:pos="8312"/>
            </w:tabs>
            <w:spacing w:line="400" w:lineRule="atLeast"/>
          </w:pPr>
          <w:r>
            <w:fldChar w:fldCharType="begin"/>
          </w:r>
          <w:r>
            <w:instrText xml:space="preserve"> HYPERLINK \l "_Toc2841" </w:instrText>
          </w:r>
          <w:r>
            <w:fldChar w:fldCharType="separate"/>
          </w:r>
          <w:r>
            <w:rPr>
              <w:szCs w:val="24"/>
            </w:rPr>
            <w:t>七、总结</w:t>
          </w:r>
          <w:r>
            <w:tab/>
          </w:r>
          <w:r>
            <w:fldChar w:fldCharType="begin"/>
          </w:r>
          <w:r>
            <w:instrText xml:space="preserve"> PAGEREF _Toc2841 \h </w:instrText>
          </w:r>
          <w:r>
            <w:fldChar w:fldCharType="separate"/>
          </w:r>
          <w:r>
            <w:t>21</w:t>
          </w:r>
          <w:r>
            <w:fldChar w:fldCharType="end"/>
          </w:r>
          <w:r>
            <w:fldChar w:fldCharType="end"/>
          </w:r>
        </w:p>
        <w:p>
          <w:pPr>
            <w:spacing w:line="400" w:lineRule="atLeast"/>
          </w:pPr>
          <w:r>
            <w:rPr>
              <w:b/>
              <w:bCs/>
              <w:sz w:val="24"/>
              <w:lang w:val="zh-CN"/>
            </w:rPr>
            <w:fldChar w:fldCharType="end"/>
          </w:r>
        </w:p>
      </w:sdtContent>
    </w:sdt>
    <w:p>
      <w:pPr>
        <w:sectPr>
          <w:footerReference r:id="rId9" w:type="default"/>
          <w:footnotePr>
            <w:numFmt w:val="decimalEnclosedCircleChinese"/>
            <w:numRestart w:val="eachPage"/>
          </w:footnotePr>
          <w:pgSz w:w="11906" w:h="16838"/>
          <w:pgMar w:top="1440" w:right="1797" w:bottom="1440" w:left="1797" w:header="720" w:footer="720" w:gutter="0"/>
          <w:pgNumType w:start="1"/>
          <w:cols w:space="720" w:num="1"/>
          <w:docGrid w:linePitch="360" w:charSpace="0"/>
        </w:sectPr>
      </w:pPr>
    </w:p>
    <w:p>
      <w:pPr>
        <w:pStyle w:val="3"/>
        <w:spacing w:before="120" w:beforeLines="50" w:after="120" w:afterLines="50" w:line="240" w:lineRule="auto"/>
        <w:jc w:val="center"/>
        <w:rPr>
          <w:sz w:val="24"/>
          <w:szCs w:val="24"/>
        </w:rPr>
      </w:pPr>
      <w:bookmarkStart w:id="6" w:name="_Toc230546434"/>
      <w:bookmarkStart w:id="7" w:name="_Toc230619149"/>
      <w:bookmarkStart w:id="8" w:name="_Toc6778"/>
      <w:bookmarkStart w:id="9" w:name="_Toc20404"/>
      <w:r>
        <w:rPr>
          <w:rFonts w:ascii="Times New Roman" w:hAnsi="Times New Roman" w:cs="Times New Roman"/>
          <w:sz w:val="24"/>
          <w:szCs w:val="24"/>
        </w:rPr>
        <w:t>一、引言</w:t>
      </w:r>
      <w:bookmarkEnd w:id="6"/>
      <w:bookmarkEnd w:id="7"/>
      <w:bookmarkEnd w:id="8"/>
      <w:bookmarkEnd w:id="9"/>
    </w:p>
    <w:p>
      <w:pPr>
        <w:pStyle w:val="4"/>
        <w:spacing w:line="360" w:lineRule="auto"/>
        <w:ind w:firstLine="482"/>
        <w:rPr>
          <w:rFonts w:cs="Times New Roman"/>
          <w:sz w:val="24"/>
          <w:szCs w:val="24"/>
        </w:rPr>
      </w:pPr>
      <w:bookmarkStart w:id="10" w:name="_Toc808"/>
      <w:bookmarkStart w:id="11" w:name="_Toc230619150"/>
      <w:bookmarkStart w:id="12" w:name="_Toc230546435"/>
      <w:bookmarkStart w:id="13" w:name="_Toc29232"/>
      <w:r>
        <w:rPr>
          <w:rFonts w:cs="Times New Roman"/>
          <w:sz w:val="24"/>
          <w:szCs w:val="24"/>
        </w:rPr>
        <w:t>1.1 调研背景</w:t>
      </w:r>
      <w:bookmarkEnd w:id="10"/>
      <w:bookmarkEnd w:id="11"/>
      <w:bookmarkEnd w:id="12"/>
      <w:bookmarkEnd w:id="13"/>
    </w:p>
    <w:p>
      <w:pPr>
        <w:spacing w:line="360" w:lineRule="auto"/>
        <w:ind w:firstLine="480" w:firstLineChars="200"/>
        <w:rPr>
          <w:rFonts w:ascii="Times New Roman" w:hAnsi="Times New Roman"/>
          <w:sz w:val="24"/>
        </w:rPr>
      </w:pPr>
      <w:r>
        <w:rPr>
          <w:rFonts w:ascii="Times New Roman" w:hAnsi="Times New Roman"/>
          <w:sz w:val="24"/>
        </w:rPr>
        <w:t>（1）国家战略层面：数字经济加速发展。党的二十大报告明确提出加快发展数字经济，促进数字经济和实体经济深度融合。2023年党中央组建国家数据局，数据要素市场化配置进入制度落地期。《十四五数字经济发展规划》</w:t>
      </w:r>
      <w:r>
        <w:rPr>
          <w:rFonts w:hint="eastAsia" w:ascii="Times New Roman" w:hAnsi="Times New Roman"/>
          <w:sz w:val="24"/>
        </w:rPr>
        <w:t>提出</w:t>
      </w:r>
      <w:r>
        <w:rPr>
          <w:rFonts w:ascii="Times New Roman" w:hAnsi="Times New Roman"/>
          <w:sz w:val="24"/>
        </w:rPr>
        <w:t>到2025年数字经济核心产业增加值占GDP比重达10%，已于2023年提前实现（实际达10%），2024年进一步升至10.5%。中国信通院最新测算显示，2024年中国数字经济规模达59.2万亿元，占GDP比重43.8%，同比名义增长9.69%，高于同期GDP名义增速5.5个百分点，数字经济全要素生产率增长贡献达23.75%，已成为支撑经济运行的基础性力量</w:t>
      </w:r>
      <w:r>
        <w:rPr>
          <w:rFonts w:ascii="Times New Roman" w:hAnsi="Times New Roman"/>
          <w:sz w:val="24"/>
          <w:vertAlign w:val="superscript"/>
        </w:rPr>
        <w:footnoteReference w:id="0"/>
      </w:r>
      <w:r>
        <w:rPr>
          <w:rFonts w:ascii="Times New Roman" w:hAnsi="Times New Roman"/>
          <w:sz w:val="24"/>
        </w:rPr>
        <w:t>。</w:t>
      </w:r>
    </w:p>
    <w:p>
      <w:pPr>
        <w:spacing w:line="360" w:lineRule="auto"/>
        <w:ind w:firstLine="480" w:firstLineChars="200"/>
        <w:rPr>
          <w:rFonts w:ascii="Times New Roman" w:hAnsi="Times New Roman"/>
          <w:sz w:val="24"/>
        </w:rPr>
      </w:pPr>
      <w:r>
        <w:rPr>
          <w:rFonts w:ascii="Times New Roman" w:hAnsi="Times New Roman"/>
          <w:sz w:val="24"/>
        </w:rPr>
        <w:t>同年启动的《“数据要素×”三年行动计划（2024</w:t>
      </w:r>
      <w:r>
        <w:rPr>
          <w:rFonts w:hint="eastAsia" w:ascii="Times New Roman" w:hAnsi="Times New Roman"/>
          <w:sz w:val="24"/>
        </w:rPr>
        <w:t>—</w:t>
      </w:r>
      <w:r>
        <w:rPr>
          <w:rFonts w:ascii="Times New Roman" w:hAnsi="Times New Roman"/>
          <w:sz w:val="24"/>
        </w:rPr>
        <w:t>2026年）》，推动数字经济从规模扩张转向质量提升。在教育领域，教育部新文科建设强调文科与理工科的交叉融合。2025年，国家发改委、国家数据局、教育部等五部门联合印发《关于加强数据要素学科专业建设和数字人才队伍建设的意见》（发改数据〔2025〕1425号），明确支持高校建设数字经济与管理学科专业，为本专业申报提供了直接政策依据</w:t>
      </w:r>
      <w:r>
        <w:rPr>
          <w:rFonts w:ascii="Times New Roman" w:hAnsi="Times New Roman"/>
          <w:sz w:val="24"/>
          <w:vertAlign w:val="superscript"/>
        </w:rPr>
        <w:footnoteReference w:id="1"/>
      </w:r>
      <w:r>
        <w:rPr>
          <w:rFonts w:ascii="Times New Roman" w:hAnsi="Times New Roman"/>
          <w:sz w:val="24"/>
        </w:rPr>
        <w:t>。</w:t>
      </w:r>
    </w:p>
    <w:p>
      <w:pPr>
        <w:spacing w:line="360" w:lineRule="auto"/>
        <w:ind w:firstLine="480" w:firstLineChars="200"/>
        <w:rPr>
          <w:rFonts w:ascii="Times New Roman" w:hAnsi="Times New Roman"/>
          <w:sz w:val="24"/>
        </w:rPr>
      </w:pPr>
      <w:r>
        <w:rPr>
          <w:rFonts w:ascii="Times New Roman" w:hAnsi="Times New Roman"/>
          <w:sz w:val="24"/>
        </w:rPr>
        <w:t>（2）区域发展层面：东盟合作带动人才需求。广西是中国唯一与东盟国家海陆相连的省份，</w:t>
      </w:r>
      <w:r>
        <w:rPr>
          <w:rFonts w:hint="eastAsia" w:ascii="Times New Roman" w:hAnsi="Times New Roman"/>
          <w:sz w:val="24"/>
        </w:rPr>
        <w:t>中国—东盟</w:t>
      </w:r>
      <w:r>
        <w:rPr>
          <w:rFonts w:ascii="Times New Roman" w:hAnsi="Times New Roman"/>
          <w:sz w:val="24"/>
        </w:rPr>
        <w:t>信息港、中国（广西）自由贸易试验区、面向东盟的金融开放门户等国家级平台相继落地。RCEP生效后，中国与东盟数字贸易规则对接加速，跨境电商、数字支付、智慧物流等领域合作深化。据行业报告估算，2024年广西数字经济规模约1.12万亿元，同比增长10.2%，跨境电商进出口额同比增长超200%</w:t>
      </w:r>
      <w:r>
        <w:rPr>
          <w:rFonts w:ascii="Times New Roman" w:hAnsi="Times New Roman"/>
          <w:sz w:val="24"/>
          <w:vertAlign w:val="superscript"/>
        </w:rPr>
        <w:footnoteReference w:id="2"/>
      </w:r>
      <w:r>
        <w:rPr>
          <w:rFonts w:ascii="Times New Roman" w:hAnsi="Times New Roman"/>
          <w:sz w:val="24"/>
        </w:rPr>
        <w:t>。与此同时，本土数字化人才供给仍有结构性短板。2024年广西IT技术类人才供求比升至8.47，普通技术岗位竞争加剧，但数字贸易、数据治理、AI应用和东盟市场运营等复合型岗位仍面临匹配不足。广西壮族自治区配套出台《广西壮族自治区加快数字人才培育支撑数字经济发展实施方案（2025</w:t>
      </w:r>
      <w:r>
        <w:rPr>
          <w:rFonts w:hint="eastAsia" w:ascii="Times New Roman" w:hAnsi="Times New Roman"/>
          <w:sz w:val="24"/>
        </w:rPr>
        <w:t>—</w:t>
      </w:r>
      <w:r>
        <w:rPr>
          <w:rFonts w:ascii="Times New Roman" w:hAnsi="Times New Roman"/>
          <w:sz w:val="24"/>
        </w:rPr>
        <w:t>2027年）》，明确支持高校开设数字经济相关专业</w:t>
      </w:r>
      <w:r>
        <w:rPr>
          <w:rFonts w:ascii="Times New Roman" w:hAnsi="Times New Roman"/>
          <w:sz w:val="24"/>
          <w:vertAlign w:val="superscript"/>
        </w:rPr>
        <w:footnoteReference w:id="3"/>
      </w:r>
      <w:r>
        <w:rPr>
          <w:rFonts w:ascii="Times New Roman" w:hAnsi="Times New Roman"/>
          <w:sz w:val="24"/>
        </w:rPr>
        <w:t>。</w:t>
      </w:r>
    </w:p>
    <w:p>
      <w:pPr>
        <w:spacing w:line="360" w:lineRule="auto"/>
        <w:ind w:firstLine="480" w:firstLineChars="200"/>
        <w:rPr>
          <w:rFonts w:ascii="Times New Roman" w:hAnsi="Times New Roman"/>
          <w:sz w:val="24"/>
          <w:vertAlign w:val="superscript"/>
        </w:rPr>
      </w:pPr>
      <w:r>
        <w:rPr>
          <w:rFonts w:ascii="Times New Roman" w:hAnsi="Times New Roman"/>
          <w:sz w:val="24"/>
        </w:rPr>
        <w:t>（3）学校发展层面：服务地方转型发展。广西师范大学是国家教育部与广西壮族自治区人民政府共建高校，学校确立引领广西、打造品牌、服务</w:t>
      </w:r>
      <w:r>
        <w:rPr>
          <w:rFonts w:hint="eastAsia" w:ascii="Times New Roman" w:hAnsi="Times New Roman"/>
          <w:sz w:val="24"/>
        </w:rPr>
        <w:t>基层</w:t>
      </w:r>
      <w:r>
        <w:rPr>
          <w:rFonts w:ascii="Times New Roman" w:hAnsi="Times New Roman"/>
          <w:sz w:val="24"/>
        </w:rPr>
        <w:t>、走向海外的发展思路。经济管理学院的经济学、工商管理均为国家级一流本科专业建设点，拥有理论经济学、工商管理一级学科硕士点，专任教师博士占比超79.2%。学院依托广西数字赋能经济发展重点实验室、</w:t>
      </w:r>
      <w:r>
        <w:rPr>
          <w:rFonts w:hint="eastAsia" w:ascii="Times New Roman" w:hAnsi="Times New Roman"/>
          <w:sz w:val="24"/>
        </w:rPr>
        <w:t>珠江—西江经济带</w:t>
      </w:r>
      <w:r>
        <w:rPr>
          <w:rFonts w:ascii="Times New Roman" w:hAnsi="Times New Roman"/>
          <w:sz w:val="24"/>
        </w:rPr>
        <w:t>合作发展研究中心、泛北部湾区域研究中心、西南城市与区域发展研究中心、东盟区域与国别研究院等科研平台，具备开设数字经济专业的坚实基础。</w:t>
      </w:r>
    </w:p>
    <w:p>
      <w:pPr>
        <w:pStyle w:val="4"/>
        <w:spacing w:line="360" w:lineRule="auto"/>
        <w:ind w:firstLine="482"/>
        <w:rPr>
          <w:rFonts w:cs="Times New Roman"/>
          <w:sz w:val="24"/>
          <w:szCs w:val="24"/>
        </w:rPr>
      </w:pPr>
      <w:bookmarkStart w:id="14" w:name="_Toc230546439"/>
      <w:bookmarkStart w:id="15" w:name="_Toc230619151"/>
      <w:bookmarkStart w:id="16" w:name="_Toc28901"/>
      <w:bookmarkStart w:id="17" w:name="_Toc5968"/>
      <w:r>
        <w:rPr>
          <w:rFonts w:cs="Times New Roman"/>
          <w:sz w:val="24"/>
          <w:szCs w:val="24"/>
        </w:rPr>
        <w:t>1.2 调研目的</w:t>
      </w:r>
      <w:bookmarkEnd w:id="14"/>
      <w:bookmarkEnd w:id="15"/>
      <w:bookmarkEnd w:id="16"/>
      <w:bookmarkEnd w:id="17"/>
    </w:p>
    <w:p>
      <w:pPr>
        <w:spacing w:line="360" w:lineRule="auto"/>
        <w:ind w:firstLine="480" w:firstLineChars="200"/>
        <w:rPr>
          <w:rFonts w:ascii="Times New Roman" w:hAnsi="Times New Roman"/>
          <w:sz w:val="24"/>
        </w:rPr>
      </w:pPr>
      <w:r>
        <w:rPr>
          <w:rFonts w:ascii="Times New Roman" w:hAnsi="Times New Roman"/>
          <w:sz w:val="24"/>
        </w:rPr>
        <w:t>本次调研旨在为学校开设数字经济本科专业提供坚实的决策依据，具体目的主要包括：</w:t>
      </w:r>
    </w:p>
    <w:p>
      <w:pPr>
        <w:spacing w:line="360" w:lineRule="auto"/>
        <w:ind w:firstLine="480" w:firstLineChars="200"/>
        <w:rPr>
          <w:rFonts w:ascii="Times New Roman" w:hAnsi="Times New Roman"/>
          <w:sz w:val="24"/>
        </w:rPr>
      </w:pPr>
      <w:r>
        <w:rPr>
          <w:rFonts w:ascii="Times New Roman" w:hAnsi="Times New Roman"/>
          <w:sz w:val="24"/>
        </w:rPr>
        <w:t>（1）研判专业开设的必要性与可行性。剖析数字经济行业的市场规模、增长趋势及区域竞争格局，结合全国高校专业布局情况（截至2025年已有272所高校开设该专业，广西仅8所）</w:t>
      </w:r>
      <w:r>
        <w:rPr>
          <w:rStyle w:val="146"/>
          <w:rFonts w:ascii="Times New Roman" w:hAnsi="Times New Roman"/>
          <w:sz w:val="24"/>
        </w:rPr>
        <w:footnoteReference w:id="4"/>
      </w:r>
      <w:r>
        <w:rPr>
          <w:rFonts w:ascii="Times New Roman" w:hAnsi="Times New Roman"/>
          <w:sz w:val="24"/>
        </w:rPr>
        <w:t>，判断我校开设该专业的时机是否成熟。</w:t>
      </w:r>
    </w:p>
    <w:p>
      <w:pPr>
        <w:spacing w:line="360" w:lineRule="auto"/>
        <w:ind w:firstLine="480" w:firstLineChars="200"/>
        <w:rPr>
          <w:rFonts w:ascii="Times New Roman" w:hAnsi="Times New Roman"/>
          <w:sz w:val="24"/>
        </w:rPr>
      </w:pPr>
      <w:r>
        <w:rPr>
          <w:rFonts w:ascii="Times New Roman" w:hAnsi="Times New Roman"/>
          <w:sz w:val="24"/>
        </w:rPr>
        <w:t>（2）梳理数字技术在经济领域的应用场景与能力需求。系统梳理大数据、人工智能、区块链等数字技术在贸易、金融、产业、治理等领域的具体应用，为构建“经济学理论+数字技术+行业应用”三位一体的课程体系提供依据。</w:t>
      </w:r>
    </w:p>
    <w:p>
      <w:pPr>
        <w:spacing w:line="360" w:lineRule="auto"/>
        <w:ind w:firstLine="480" w:firstLineChars="200"/>
        <w:rPr>
          <w:rFonts w:ascii="Times New Roman" w:hAnsi="Times New Roman"/>
          <w:sz w:val="24"/>
        </w:rPr>
      </w:pPr>
      <w:r>
        <w:rPr>
          <w:rFonts w:ascii="Times New Roman" w:hAnsi="Times New Roman"/>
          <w:sz w:val="24"/>
        </w:rPr>
        <w:t>（3）明确数字经济专业人才的能力模型与培养规格。深入了解行业、企业及政府机构对数字经济专业人才的具体要求，建立岗位能力、课程体系与实践教学之间的映射关系，确保人才培养精准对接市场需求。</w:t>
      </w:r>
    </w:p>
    <w:p>
      <w:pPr>
        <w:spacing w:line="360" w:lineRule="auto"/>
        <w:ind w:firstLine="480" w:firstLineChars="200"/>
        <w:rPr>
          <w:rFonts w:ascii="Times New Roman" w:hAnsi="Times New Roman"/>
          <w:bCs/>
          <w:sz w:val="24"/>
        </w:rPr>
      </w:pPr>
      <w:r>
        <w:rPr>
          <w:rFonts w:ascii="Times New Roman" w:hAnsi="Times New Roman"/>
          <w:bCs/>
          <w:sz w:val="24"/>
        </w:rPr>
        <w:t>（4）论证我校开设该专业的独特优势与培养特色。系统评估我校经济学学科基础、东盟区位优势、师范院校人文底蕴、省级科研平台、产教融合基地等资源禀赋，明确与区内其他高校同类专业的差异化定位。</w:t>
      </w:r>
    </w:p>
    <w:p>
      <w:pPr>
        <w:spacing w:line="360" w:lineRule="auto"/>
        <w:ind w:firstLine="480" w:firstLineChars="200"/>
        <w:rPr>
          <w:rFonts w:ascii="Times New Roman" w:hAnsi="Times New Roman"/>
          <w:sz w:val="24"/>
        </w:rPr>
      </w:pPr>
      <w:r>
        <w:rPr>
          <w:rFonts w:ascii="Times New Roman" w:hAnsi="Times New Roman"/>
          <w:bCs/>
          <w:sz w:val="24"/>
        </w:rPr>
        <w:t>（5）识别专业建设风险并提出防控预案。分</w:t>
      </w:r>
      <w:r>
        <w:rPr>
          <w:rFonts w:ascii="Times New Roman" w:hAnsi="Times New Roman"/>
          <w:sz w:val="24"/>
        </w:rPr>
        <w:t>析专业建设中可能面临的招生、师资、实践教学、数据合规、专业同质化和就业匹配等风险，提出分阶段、可操作的风险防控措施。</w:t>
      </w:r>
    </w:p>
    <w:p>
      <w:pPr>
        <w:pStyle w:val="4"/>
        <w:spacing w:line="360" w:lineRule="auto"/>
        <w:ind w:firstLine="482"/>
        <w:rPr>
          <w:rFonts w:cs="Times New Roman"/>
          <w:sz w:val="24"/>
          <w:szCs w:val="24"/>
        </w:rPr>
      </w:pPr>
      <w:bookmarkStart w:id="18" w:name="_Toc230546440"/>
      <w:bookmarkStart w:id="19" w:name="_Toc230619152"/>
      <w:bookmarkStart w:id="20" w:name="_Toc15161"/>
      <w:bookmarkStart w:id="21" w:name="_Toc29807"/>
      <w:r>
        <w:rPr>
          <w:rFonts w:cs="Times New Roman"/>
          <w:sz w:val="24"/>
          <w:szCs w:val="24"/>
        </w:rPr>
        <w:t>1.3 调研方法与数据来源说明</w:t>
      </w:r>
      <w:bookmarkEnd w:id="18"/>
      <w:bookmarkEnd w:id="19"/>
      <w:bookmarkEnd w:id="20"/>
      <w:bookmarkEnd w:id="21"/>
    </w:p>
    <w:p>
      <w:pPr>
        <w:spacing w:line="360" w:lineRule="auto"/>
        <w:ind w:firstLine="480" w:firstLineChars="200"/>
        <w:rPr>
          <w:rFonts w:ascii="Times New Roman" w:hAnsi="Times New Roman"/>
          <w:sz w:val="24"/>
        </w:rPr>
      </w:pPr>
      <w:r>
        <w:rPr>
          <w:rFonts w:ascii="Times New Roman" w:hAnsi="Times New Roman"/>
          <w:sz w:val="24"/>
        </w:rPr>
        <w:t>本</w:t>
      </w:r>
      <w:bookmarkStart w:id="22" w:name="_Toc230546441"/>
      <w:r>
        <w:rPr>
          <w:rFonts w:ascii="Times New Roman" w:hAnsi="Times New Roman"/>
          <w:sz w:val="24"/>
        </w:rPr>
        <w:t>报告主要采用以下调研方法：</w:t>
      </w:r>
      <w:r>
        <w:rPr>
          <w:rFonts w:ascii="Times New Roman" w:hAnsi="Times New Roman"/>
          <w:sz w:val="24"/>
        </w:rPr>
        <w:fldChar w:fldCharType="begin"/>
      </w:r>
      <w:r>
        <w:rPr>
          <w:rFonts w:ascii="Times New Roman" w:hAnsi="Times New Roman"/>
          <w:sz w:val="24"/>
        </w:rPr>
        <w:instrText xml:space="preserve"> = 1 \* GB3 </w:instrText>
      </w:r>
      <w:r>
        <w:rPr>
          <w:rFonts w:ascii="Times New Roman" w:hAnsi="Times New Roman"/>
          <w:sz w:val="24"/>
        </w:rPr>
        <w:fldChar w:fldCharType="separate"/>
      </w:r>
      <w:r>
        <w:rPr>
          <w:rFonts w:ascii="Times New Roman" w:hAnsi="Times New Roman"/>
          <w:sz w:val="24"/>
        </w:rPr>
        <w:t>①</w:t>
      </w:r>
      <w:r>
        <w:rPr>
          <w:rFonts w:ascii="Times New Roman" w:hAnsi="Times New Roman"/>
          <w:sz w:val="24"/>
        </w:rPr>
        <w:fldChar w:fldCharType="end"/>
      </w:r>
      <w:r>
        <w:rPr>
          <w:rFonts w:ascii="Times New Roman" w:hAnsi="Times New Roman"/>
          <w:sz w:val="24"/>
        </w:rPr>
        <w:t>文献与政策文本分析法，梳理国家和广西关于数字经济、数据要素、数字人才培养等方面的政策文件，明确专业设置的政策依据；</w:t>
      </w:r>
      <w:r>
        <w:rPr>
          <w:rFonts w:ascii="Times New Roman" w:hAnsi="Times New Roman"/>
          <w:sz w:val="24"/>
        </w:rPr>
        <w:fldChar w:fldCharType="begin"/>
      </w:r>
      <w:r>
        <w:rPr>
          <w:rFonts w:ascii="Times New Roman" w:hAnsi="Times New Roman"/>
          <w:sz w:val="24"/>
        </w:rPr>
        <w:instrText xml:space="preserve"> = 2 \* GB3 </w:instrText>
      </w:r>
      <w:r>
        <w:rPr>
          <w:rFonts w:ascii="Times New Roman" w:hAnsi="Times New Roman"/>
          <w:sz w:val="24"/>
        </w:rPr>
        <w:fldChar w:fldCharType="separate"/>
      </w:r>
      <w:r>
        <w:rPr>
          <w:rFonts w:ascii="Times New Roman" w:hAnsi="Times New Roman"/>
          <w:sz w:val="24"/>
        </w:rPr>
        <w:t>②</w:t>
      </w:r>
      <w:r>
        <w:rPr>
          <w:rFonts w:ascii="Times New Roman" w:hAnsi="Times New Roman"/>
          <w:sz w:val="24"/>
        </w:rPr>
        <w:fldChar w:fldCharType="end"/>
      </w:r>
      <w:r>
        <w:rPr>
          <w:rFonts w:ascii="Times New Roman" w:hAnsi="Times New Roman"/>
          <w:sz w:val="24"/>
        </w:rPr>
        <w:t>公开数据比较分析法，整理中国信通院、广西统计及相关部门发布的数字经济规模、产业发展和人才供需数据，研判行业发展趋势；</w:t>
      </w:r>
      <w:r>
        <w:rPr>
          <w:rFonts w:ascii="Times New Roman" w:hAnsi="Times New Roman"/>
          <w:sz w:val="24"/>
        </w:rPr>
        <w:fldChar w:fldCharType="begin"/>
      </w:r>
      <w:r>
        <w:rPr>
          <w:rFonts w:ascii="Times New Roman" w:hAnsi="Times New Roman"/>
          <w:sz w:val="24"/>
        </w:rPr>
        <w:instrText xml:space="preserve"> = 3 \* GB3 </w:instrText>
      </w:r>
      <w:r>
        <w:rPr>
          <w:rFonts w:ascii="Times New Roman" w:hAnsi="Times New Roman"/>
          <w:sz w:val="24"/>
        </w:rPr>
        <w:fldChar w:fldCharType="separate"/>
      </w:r>
      <w:r>
        <w:rPr>
          <w:rFonts w:ascii="Times New Roman" w:hAnsi="Times New Roman"/>
          <w:sz w:val="24"/>
        </w:rPr>
        <w:t>③</w:t>
      </w:r>
      <w:r>
        <w:rPr>
          <w:rFonts w:ascii="Times New Roman" w:hAnsi="Times New Roman"/>
          <w:sz w:val="24"/>
        </w:rPr>
        <w:fldChar w:fldCharType="end"/>
      </w:r>
      <w:r>
        <w:rPr>
          <w:rFonts w:ascii="Times New Roman" w:hAnsi="Times New Roman"/>
          <w:sz w:val="24"/>
        </w:rPr>
        <w:t>同类高校对标分析法，比较区内相关高校数字经济专业的学科基础、培养方向和特色定位，分析我校专业建设的差异化空间；</w:t>
      </w:r>
      <w:r>
        <w:rPr>
          <w:rFonts w:ascii="Times New Roman" w:hAnsi="Times New Roman"/>
          <w:sz w:val="24"/>
        </w:rPr>
        <w:fldChar w:fldCharType="begin"/>
      </w:r>
      <w:r>
        <w:rPr>
          <w:rFonts w:ascii="Times New Roman" w:hAnsi="Times New Roman"/>
          <w:sz w:val="24"/>
        </w:rPr>
        <w:instrText xml:space="preserve"> = 4 \* GB3 </w:instrText>
      </w:r>
      <w:r>
        <w:rPr>
          <w:rFonts w:ascii="Times New Roman" w:hAnsi="Times New Roman"/>
          <w:sz w:val="24"/>
        </w:rPr>
        <w:fldChar w:fldCharType="separate"/>
      </w:r>
      <w:r>
        <w:rPr>
          <w:rFonts w:ascii="Times New Roman" w:hAnsi="Times New Roman"/>
          <w:sz w:val="24"/>
        </w:rPr>
        <w:t>④</w:t>
      </w:r>
      <w:r>
        <w:rPr>
          <w:rFonts w:ascii="Times New Roman" w:hAnsi="Times New Roman"/>
          <w:sz w:val="24"/>
        </w:rPr>
        <w:fldChar w:fldCharType="end"/>
      </w:r>
      <w:r>
        <w:rPr>
          <w:rFonts w:ascii="Times New Roman" w:hAnsi="Times New Roman"/>
          <w:sz w:val="24"/>
        </w:rPr>
        <w:t>岗位需求归纳法，结合公开招聘信息和人才发展报告，归纳数字经济相关岗位类型、能力要求和课程支撑关系。</w:t>
      </w:r>
    </w:p>
    <w:p>
      <w:pPr>
        <w:spacing w:line="360" w:lineRule="auto"/>
        <w:ind w:firstLine="480" w:firstLineChars="200"/>
        <w:rPr>
          <w:rFonts w:ascii="Times New Roman" w:hAnsi="Times New Roman"/>
          <w:sz w:val="24"/>
        </w:rPr>
      </w:pPr>
      <w:r>
        <w:rPr>
          <w:rFonts w:ascii="Times New Roman" w:hAnsi="Times New Roman"/>
          <w:sz w:val="24"/>
        </w:rPr>
        <w:t>数据来源方面，政策文本主要来自国家发展改革委、教育部、人力资源和社会保障部、国家数据局、广西壮族自治区人民政府及相关厅局公开文件；产业与市场数据主要参考中国信息通信研究院、广西信息中心、广西统计、工信和商务等部门公开资料；人才需求数据主要参考人社部门、广西人才网、前程无忧、东北师范大学与阿里巴巴研究院等公开报告；高校对标信息主要来自各高校官网、招生信息网和公开专业介绍。</w:t>
      </w:r>
    </w:p>
    <w:p>
      <w:pPr>
        <w:spacing w:line="360" w:lineRule="auto"/>
        <w:ind w:firstLine="480" w:firstLineChars="200"/>
        <w:rPr>
          <w:rFonts w:ascii="Times New Roman" w:hAnsi="Times New Roman"/>
          <w:sz w:val="24"/>
        </w:rPr>
      </w:pPr>
      <w:r>
        <w:rPr>
          <w:rFonts w:ascii="Times New Roman" w:hAnsi="Times New Roman"/>
          <w:sz w:val="24"/>
        </w:rPr>
        <w:t>鉴于数字经济相关统计口径在不同机构之间存在差异，本报告在使用关键数据时遵循审慎原则：政府统计和正式政策文件优先于行业媒体报道，权威研究机构报告优先于一般网络资料；同一指标存在多个口径时，优先采用与专业申报论证相关度较高、发布时间较新且来源可追溯的数据。涉及薪酬、岗位增速和人才缺口的数据，主要用于反映行业趋势和人才需求变化，不作为精确预测值使用。正式报送前，将对核心数据的来源名称、发布时间、统计口径、页码或链接及访问日期进行再次核验。</w:t>
      </w:r>
    </w:p>
    <w:p>
      <w:pPr>
        <w:spacing w:line="360" w:lineRule="auto"/>
        <w:ind w:firstLine="480" w:firstLineChars="200"/>
        <w:rPr>
          <w:rFonts w:ascii="Times New Roman" w:hAnsi="Times New Roman"/>
          <w:sz w:val="24"/>
        </w:rPr>
      </w:pPr>
    </w:p>
    <w:p>
      <w:pPr>
        <w:pStyle w:val="3"/>
        <w:spacing w:before="120" w:beforeLines="50" w:after="120" w:afterLines="50"/>
        <w:jc w:val="center"/>
        <w:rPr>
          <w:rFonts w:ascii="Times New Roman" w:hAnsi="Times New Roman" w:cs="Times New Roman"/>
          <w:sz w:val="24"/>
          <w:szCs w:val="24"/>
        </w:rPr>
      </w:pPr>
      <w:bookmarkStart w:id="23" w:name="_Toc230619153"/>
      <w:bookmarkStart w:id="24" w:name="_Toc24082"/>
      <w:bookmarkStart w:id="25" w:name="_Toc17344"/>
      <w:r>
        <w:rPr>
          <w:rFonts w:ascii="Times New Roman" w:hAnsi="Times New Roman" w:cs="Times New Roman"/>
          <w:sz w:val="24"/>
          <w:szCs w:val="24"/>
        </w:rPr>
        <w:t>二、数字经济的内涵界定与专业定位</w:t>
      </w:r>
      <w:bookmarkEnd w:id="22"/>
      <w:bookmarkEnd w:id="23"/>
      <w:bookmarkEnd w:id="24"/>
      <w:bookmarkEnd w:id="25"/>
    </w:p>
    <w:p>
      <w:pPr>
        <w:pStyle w:val="4"/>
        <w:spacing w:line="360" w:lineRule="auto"/>
        <w:ind w:firstLine="482"/>
        <w:rPr>
          <w:rFonts w:cs="Times New Roman"/>
          <w:sz w:val="24"/>
          <w:szCs w:val="24"/>
        </w:rPr>
      </w:pPr>
      <w:bookmarkStart w:id="26" w:name="_Toc230619154"/>
      <w:bookmarkStart w:id="27" w:name="_Toc18290"/>
      <w:bookmarkStart w:id="28" w:name="_Toc12409"/>
      <w:bookmarkStart w:id="29" w:name="_Toc230546442"/>
      <w:r>
        <w:rPr>
          <w:rFonts w:cs="Times New Roman"/>
          <w:sz w:val="24"/>
          <w:szCs w:val="24"/>
        </w:rPr>
        <w:t>2.1 数字经济的官方定义与统计范畴</w:t>
      </w:r>
      <w:bookmarkEnd w:id="26"/>
      <w:bookmarkEnd w:id="27"/>
      <w:bookmarkEnd w:id="28"/>
      <w:bookmarkEnd w:id="29"/>
    </w:p>
    <w:p>
      <w:pPr>
        <w:spacing w:line="360" w:lineRule="auto"/>
        <w:ind w:firstLine="480" w:firstLineChars="200"/>
        <w:rPr>
          <w:rFonts w:ascii="Times New Roman" w:hAnsi="Times New Roman"/>
          <w:sz w:val="24"/>
          <w:vertAlign w:val="superscript"/>
        </w:rPr>
      </w:pPr>
      <w:r>
        <w:rPr>
          <w:rFonts w:ascii="Times New Roman" w:hAnsi="Times New Roman"/>
          <w:sz w:val="24"/>
        </w:rPr>
        <w:t>根据国家统计局《数字经济及其核心产业统计分类（2021）》，数字经济是指以数据资源作为关键生产要素、以现代信息网络作为重要载体、以信息通信技术的有效使用作为效率提升和经济结构优化的重要推动力的一系列经济活动</w:t>
      </w:r>
      <w:r>
        <w:rPr>
          <w:rFonts w:ascii="Times New Roman" w:hAnsi="Times New Roman"/>
          <w:sz w:val="24"/>
          <w:vertAlign w:val="superscript"/>
        </w:rPr>
        <w:footnoteReference w:id="5"/>
      </w:r>
      <w:r>
        <w:rPr>
          <w:rFonts w:ascii="Times New Roman" w:hAnsi="Times New Roman"/>
          <w:sz w:val="24"/>
        </w:rPr>
        <w:t>。</w:t>
      </w:r>
    </w:p>
    <w:p>
      <w:pPr>
        <w:spacing w:line="360" w:lineRule="auto"/>
        <w:ind w:firstLine="480" w:firstLineChars="200"/>
        <w:rPr>
          <w:rFonts w:ascii="Times New Roman" w:hAnsi="Times New Roman"/>
          <w:sz w:val="24"/>
        </w:rPr>
      </w:pPr>
      <w:r>
        <w:rPr>
          <w:rFonts w:ascii="Times New Roman" w:hAnsi="Times New Roman"/>
          <w:sz w:val="24"/>
        </w:rPr>
        <w:t>根据中国信通院的四化框架，数字经济具体包括四大部分：数字产业化（信息通信产业）、产业数字化（传统产业应用数字技术带来的产出增加和效率提升）、数字化治理（数字技术与治理的结合及数字化公共服务）、数据价值化（数据采集、标准、确权、标注、定价、交易、流转、保护等）。从结构看，2023年我国数字产业化规模为10.09万亿元，占数字经济比重18.7%；产业数字化规模达43.84万亿元，占比81.3%，已成为数字经济发展的主引擎</w:t>
      </w:r>
      <w:r>
        <w:rPr>
          <w:rFonts w:ascii="Times New Roman" w:hAnsi="Times New Roman"/>
          <w:sz w:val="24"/>
          <w:vertAlign w:val="superscript"/>
        </w:rPr>
        <w:footnoteReference w:id="6"/>
      </w:r>
      <w:r>
        <w:rPr>
          <w:rFonts w:ascii="Times New Roman" w:hAnsi="Times New Roman"/>
          <w:sz w:val="24"/>
        </w:rPr>
        <w:t>。如表1所示，数字经济核心产业可从数字产品制造、数字产品服务、数字技术应用和数字要素驱动等维度进行理解，这为本专业课程模块划分提供了清晰依据。</w:t>
      </w:r>
    </w:p>
    <w:p>
      <w:pPr>
        <w:spacing w:line="360" w:lineRule="auto"/>
        <w:jc w:val="center"/>
        <w:rPr>
          <w:rFonts w:ascii="Times New Roman" w:hAnsi="Times New Roman"/>
          <w:sz w:val="24"/>
        </w:rPr>
      </w:pPr>
      <w:r>
        <w:rPr>
          <w:rFonts w:ascii="Times New Roman" w:hAnsi="Times New Roman"/>
          <w:sz w:val="24"/>
        </w:rPr>
        <w:t>表1   数字经济核心产业分类及构成</w:t>
      </w:r>
    </w:p>
    <w:tbl>
      <w:tblPr>
        <w:tblStyle w:val="180"/>
        <w:tblW w:w="9159"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28"/>
        <w:gridCol w:w="3683"/>
        <w:gridCol w:w="3548"/>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1928" w:type="dxa"/>
            <w:tcBorders>
              <w:top w:val="single" w:color="auto" w:sz="12" w:space="0"/>
              <w:left w:val="nil"/>
              <w:bottom w:val="single" w:color="auto" w:sz="6" w:space="0"/>
              <w:right w:val="nil"/>
              <w:insideH w:val="single" w:sz="6" w:space="0"/>
              <w:insideV w:val="nil"/>
              <w:tl2br w:val="nil"/>
              <w:tr2bl w:val="nil"/>
            </w:tcBorders>
            <w:vAlign w:val="center"/>
          </w:tcPr>
          <w:p>
            <w:pPr>
              <w:wordWrap/>
              <w:spacing w:line="360" w:lineRule="auto"/>
              <w:jc w:val="center"/>
              <w:rPr>
                <w:rFonts w:ascii="Times New Roman" w:hAnsi="Times New Roman" w:eastAsia="宋体" w:cstheme="minorBidi"/>
                <w:szCs w:val="21"/>
              </w:rPr>
            </w:pPr>
            <w:r>
              <w:rPr>
                <w:rFonts w:ascii="Times New Roman" w:hAnsi="Times New Roman" w:eastAsia="宋体" w:cstheme="minorBidi"/>
                <w:szCs w:val="21"/>
              </w:rPr>
              <w:t>产业大类</w:t>
            </w:r>
          </w:p>
        </w:tc>
        <w:tc>
          <w:tcPr>
            <w:tcW w:w="3683" w:type="dxa"/>
            <w:tcBorders>
              <w:top w:val="single" w:color="auto" w:sz="12" w:space="0"/>
              <w:bottom w:val="single" w:color="auto" w:sz="6" w:space="0"/>
              <w:right w:val="nil"/>
              <w:insideH w:val="single" w:sz="6" w:space="0"/>
              <w:insideV w:val="nil"/>
              <w:tl2br w:val="nil"/>
              <w:tr2bl w:val="nil"/>
            </w:tcBorders>
            <w:vAlign w:val="center"/>
          </w:tcPr>
          <w:p>
            <w:pPr>
              <w:wordWrap/>
              <w:spacing w:line="360" w:lineRule="auto"/>
              <w:jc w:val="center"/>
              <w:rPr>
                <w:rFonts w:ascii="Times New Roman" w:hAnsi="Times New Roman" w:eastAsia="宋体" w:cstheme="minorBidi"/>
                <w:szCs w:val="21"/>
              </w:rPr>
            </w:pPr>
            <w:r>
              <w:rPr>
                <w:rFonts w:ascii="Times New Roman" w:hAnsi="Times New Roman" w:eastAsia="宋体" w:cstheme="minorBidi"/>
                <w:szCs w:val="21"/>
              </w:rPr>
              <w:t>核心描述</w:t>
            </w:r>
          </w:p>
        </w:tc>
        <w:tc>
          <w:tcPr>
            <w:tcW w:w="3548" w:type="dxa"/>
            <w:tcBorders>
              <w:top w:val="single" w:color="auto" w:sz="12" w:space="0"/>
              <w:bottom w:val="single" w:color="auto" w:sz="6" w:space="0"/>
              <w:right w:val="nil"/>
              <w:insideH w:val="single" w:sz="6" w:space="0"/>
              <w:insideV w:val="nil"/>
              <w:tl2br w:val="nil"/>
              <w:tr2bl w:val="nil"/>
            </w:tcBorders>
            <w:vAlign w:val="center"/>
          </w:tcPr>
          <w:p>
            <w:pPr>
              <w:wordWrap/>
              <w:spacing w:line="360" w:lineRule="auto"/>
              <w:jc w:val="center"/>
              <w:rPr>
                <w:rFonts w:ascii="Times New Roman" w:hAnsi="Times New Roman" w:eastAsia="宋体" w:cstheme="minorBidi"/>
                <w:szCs w:val="21"/>
              </w:rPr>
            </w:pPr>
            <w:r>
              <w:rPr>
                <w:rFonts w:ascii="Times New Roman" w:hAnsi="Times New Roman" w:eastAsia="宋体" w:cstheme="minorBidi"/>
                <w:szCs w:val="21"/>
              </w:rPr>
              <w:t>主要涵盖领域</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jc w:val="center"/>
        </w:trPr>
        <w:tc>
          <w:tcPr>
            <w:tcW w:w="1928"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数字产品制造业</w:t>
            </w:r>
          </w:p>
        </w:tc>
        <w:tc>
          <w:tcPr>
            <w:tcW w:w="3683"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数字技术实体载体的生产制造</w:t>
            </w:r>
          </w:p>
        </w:tc>
        <w:tc>
          <w:tcPr>
            <w:tcW w:w="3548"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智能设备制造、集成电路制造、通信设备制造</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1928"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数字产品服务业</w:t>
            </w:r>
          </w:p>
        </w:tc>
        <w:tc>
          <w:tcPr>
            <w:tcW w:w="3683"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数字产品的流通与售后支持</w:t>
            </w:r>
          </w:p>
        </w:tc>
        <w:tc>
          <w:tcPr>
            <w:tcW w:w="3548"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计算机及辅助设备批发零售、通信设备修理</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1928"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数字技术应用业</w:t>
            </w:r>
          </w:p>
        </w:tc>
        <w:tc>
          <w:tcPr>
            <w:tcW w:w="3683"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提供数字技术解决方案与服务</w:t>
            </w:r>
          </w:p>
        </w:tc>
        <w:tc>
          <w:tcPr>
            <w:tcW w:w="3548"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软件开发、物联网技术服务、互联网平台服务、信息技术咨询</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6" w:hRule="atLeast"/>
          <w:jc w:val="center"/>
        </w:trPr>
        <w:tc>
          <w:tcPr>
            <w:tcW w:w="1928"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数字要素驱动业</w:t>
            </w:r>
          </w:p>
        </w:tc>
        <w:tc>
          <w:tcPr>
            <w:tcW w:w="3683"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以数据为核心要素的价值创造</w:t>
            </w:r>
          </w:p>
        </w:tc>
        <w:tc>
          <w:tcPr>
            <w:tcW w:w="3548"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数据采集与处理、大数据分析服务、数据交易服务</w:t>
            </w:r>
          </w:p>
        </w:tc>
      </w:tr>
    </w:tbl>
    <w:p>
      <w:pPr>
        <w:pStyle w:val="4"/>
        <w:spacing w:line="360" w:lineRule="auto"/>
        <w:ind w:firstLine="482"/>
        <w:rPr>
          <w:rFonts w:cs="Times New Roman"/>
          <w:sz w:val="24"/>
          <w:szCs w:val="24"/>
        </w:rPr>
      </w:pPr>
      <w:bookmarkStart w:id="30" w:name="_Toc230546443"/>
    </w:p>
    <w:p>
      <w:pPr>
        <w:pStyle w:val="4"/>
        <w:spacing w:line="360" w:lineRule="auto"/>
        <w:ind w:firstLine="482"/>
        <w:rPr>
          <w:rFonts w:cs="Times New Roman"/>
          <w:sz w:val="24"/>
          <w:szCs w:val="24"/>
        </w:rPr>
      </w:pPr>
      <w:bookmarkStart w:id="31" w:name="_Toc1828"/>
      <w:bookmarkStart w:id="32" w:name="_Toc230619155"/>
      <w:bookmarkStart w:id="33" w:name="_Toc13913"/>
      <w:r>
        <w:rPr>
          <w:rFonts w:cs="Times New Roman"/>
          <w:sz w:val="24"/>
          <w:szCs w:val="24"/>
        </w:rPr>
        <w:t>2.2 数字经济专业的学科归属与培养定位</w:t>
      </w:r>
      <w:bookmarkEnd w:id="30"/>
      <w:bookmarkEnd w:id="31"/>
      <w:bookmarkEnd w:id="32"/>
      <w:bookmarkEnd w:id="33"/>
    </w:p>
    <w:p>
      <w:pPr>
        <w:spacing w:line="360" w:lineRule="auto"/>
        <w:ind w:firstLine="480" w:firstLineChars="200"/>
        <w:rPr>
          <w:rFonts w:ascii="Times New Roman" w:hAnsi="Times New Roman"/>
          <w:sz w:val="24"/>
        </w:rPr>
      </w:pPr>
      <w:r>
        <w:rPr>
          <w:rFonts w:ascii="Times New Roman" w:hAnsi="Times New Roman"/>
          <w:sz w:val="24"/>
        </w:rPr>
        <w:t>数字经济专业是适应数字经济发展、数据要素市场建设和产业数字化转型需要而设置的经济学类新兴专业，专业代码为 020109T，属于经济学门类下的特设专业，授予经济学学士学位。该专业已列入教育部《普通高等学校本科专业目录》，说明其学科归属和专业设置依据已较为明确。从专业属性看，数字经济并不是单纯的技术类专业，也不是传统经济学专业的简单延伸，而是经济学、数据科学、信息技术和产业应用交叉融合形成的新型专业，重点关注数字经济运行规律、数据要素配置、数字平台发展、产业数字化转型和数字经济治理等问题。</w:t>
      </w:r>
    </w:p>
    <w:p>
      <w:pPr>
        <w:spacing w:line="360" w:lineRule="auto"/>
        <w:ind w:firstLine="480" w:firstLineChars="200"/>
        <w:rPr>
          <w:rFonts w:ascii="Times New Roman" w:hAnsi="Times New Roman"/>
          <w:sz w:val="24"/>
        </w:rPr>
      </w:pPr>
      <w:r>
        <w:rPr>
          <w:rFonts w:ascii="Times New Roman" w:hAnsi="Times New Roman"/>
          <w:sz w:val="24"/>
        </w:rPr>
        <w:t>为进一步明确数字经济专业的培养边界，本文从学科门类、核心定位、技术深度、经济学深度和典型就业五个维度，将其与经济学、数据科学与大数据技术、电子商务、国际经济与贸易等相近专业进行比较。总体来看，数字经济专业与经济学专业同属经济学门类，但更强调数字技术工具和数据要素分析；与数据科学与大数据技术专业相比，其技术训练深度相对适中，但经济学基础和产业解释能力更强；与电子商务专业相比，其不局限于平台运营和网络营销，而是进一步延伸至数字金融、产业数字化和数据治理等领域；与国际经济与贸易专业相比，其在贸易规则和跨境商务基础上，更强调数字平台、跨境数据流动和数字贸易新业态。因此，本专业应立足“经济学基础+数字技术工具+产业应用场景”的复合定位，重点面向数字贸易、数字金融、平台运营、产业数字化和数据治理等方向，培养能够从事经济分析、数据决策、平台运营、数字化转型和跨境数字贸易等工作的复合型、应用型经济学人才。具体比较见表 2。</w:t>
      </w:r>
    </w:p>
    <w:p>
      <w:pPr>
        <w:pStyle w:val="182"/>
        <w:rPr>
          <w:sz w:val="24"/>
          <w:szCs w:val="24"/>
        </w:rPr>
      </w:pPr>
      <w:r>
        <w:rPr>
          <w:sz w:val="24"/>
          <w:szCs w:val="24"/>
        </w:rPr>
        <w:t>表2   数字经济专业与相近专业五维对比矩阵</w:t>
      </w:r>
    </w:p>
    <w:tbl>
      <w:tblPr>
        <w:tblStyle w:val="180"/>
        <w:tblW w:w="9597"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35"/>
        <w:gridCol w:w="1817"/>
        <w:gridCol w:w="1647"/>
        <w:gridCol w:w="1704"/>
        <w:gridCol w:w="1647"/>
        <w:gridCol w:w="1647"/>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9" w:hRule="atLeast"/>
          <w:jc w:val="center"/>
        </w:trPr>
        <w:tc>
          <w:tcPr>
            <w:tcW w:w="1135" w:type="dxa"/>
            <w:tcBorders>
              <w:top w:val="single" w:color="auto" w:sz="12" w:space="0"/>
              <w:left w:val="nil"/>
              <w:bottom w:val="single" w:color="auto" w:sz="6" w:space="0"/>
              <w:right w:val="nil"/>
              <w:insideH w:val="single" w:sz="6" w:space="0"/>
              <w:insideV w:val="nil"/>
              <w:tl2br w:val="nil"/>
              <w:tr2bl w:val="nil"/>
            </w:tcBorders>
            <w:vAlign w:val="center"/>
          </w:tcPr>
          <w:p>
            <w:pPr>
              <w:wordWrap/>
              <w:spacing w:line="360" w:lineRule="exact"/>
              <w:rPr>
                <w:rFonts w:ascii="Times New Roman" w:hAnsi="Times New Roman" w:eastAsia="宋体" w:cstheme="minorBidi"/>
                <w:szCs w:val="21"/>
              </w:rPr>
            </w:pPr>
            <w:r>
              <w:rPr>
                <w:rFonts w:ascii="Times New Roman" w:hAnsi="Times New Roman" w:eastAsia="宋体" w:cstheme="minorBidi"/>
                <w:szCs w:val="21"/>
              </w:rPr>
              <w:t>对比维度</w:t>
            </w:r>
          </w:p>
        </w:tc>
        <w:tc>
          <w:tcPr>
            <w:tcW w:w="1817" w:type="dxa"/>
            <w:tcBorders>
              <w:top w:val="single" w:color="auto" w:sz="12" w:space="0"/>
              <w:bottom w:val="single" w:color="auto" w:sz="6" w:space="0"/>
              <w:right w:val="nil"/>
              <w:insideH w:val="single" w:sz="6" w:space="0"/>
              <w:insideV w:val="nil"/>
              <w:tl2br w:val="nil"/>
              <w:tr2bl w:val="nil"/>
            </w:tcBorders>
            <w:vAlign w:val="center"/>
          </w:tcPr>
          <w:p>
            <w:pPr>
              <w:wordWrap/>
              <w:spacing w:line="360" w:lineRule="exact"/>
              <w:rPr>
                <w:rFonts w:ascii="Times New Roman" w:hAnsi="Times New Roman" w:eastAsia="宋体" w:cstheme="minorBidi"/>
                <w:szCs w:val="21"/>
              </w:rPr>
            </w:pPr>
            <w:r>
              <w:rPr>
                <w:rFonts w:ascii="Times New Roman" w:hAnsi="Times New Roman" w:eastAsia="宋体" w:cstheme="minorBidi"/>
                <w:szCs w:val="21"/>
              </w:rPr>
              <w:t>数字经济（020109T）</w:t>
            </w:r>
          </w:p>
        </w:tc>
        <w:tc>
          <w:tcPr>
            <w:tcW w:w="1647" w:type="dxa"/>
            <w:tcBorders>
              <w:top w:val="single" w:color="auto" w:sz="12" w:space="0"/>
              <w:bottom w:val="single" w:color="auto" w:sz="6" w:space="0"/>
              <w:right w:val="nil"/>
              <w:insideH w:val="single" w:sz="6" w:space="0"/>
              <w:insideV w:val="nil"/>
              <w:tl2br w:val="nil"/>
              <w:tr2bl w:val="nil"/>
            </w:tcBorders>
            <w:vAlign w:val="center"/>
          </w:tcPr>
          <w:p>
            <w:pPr>
              <w:wordWrap/>
              <w:spacing w:line="360" w:lineRule="exact"/>
              <w:rPr>
                <w:rFonts w:ascii="Times New Roman" w:hAnsi="Times New Roman" w:eastAsia="宋体" w:cstheme="minorBidi"/>
                <w:szCs w:val="21"/>
              </w:rPr>
            </w:pPr>
            <w:r>
              <w:rPr>
                <w:rFonts w:ascii="Times New Roman" w:hAnsi="Times New Roman" w:eastAsia="宋体" w:cstheme="minorBidi"/>
                <w:szCs w:val="21"/>
              </w:rPr>
              <w:t>经济学（020101）</w:t>
            </w:r>
          </w:p>
        </w:tc>
        <w:tc>
          <w:tcPr>
            <w:tcW w:w="1704" w:type="dxa"/>
            <w:tcBorders>
              <w:top w:val="single" w:color="auto" w:sz="12" w:space="0"/>
              <w:bottom w:val="single" w:color="auto" w:sz="6" w:space="0"/>
              <w:right w:val="nil"/>
              <w:insideH w:val="single" w:sz="6" w:space="0"/>
              <w:insideV w:val="nil"/>
              <w:tl2br w:val="nil"/>
              <w:tr2bl w:val="nil"/>
            </w:tcBorders>
            <w:vAlign w:val="center"/>
          </w:tcPr>
          <w:p>
            <w:pPr>
              <w:wordWrap/>
              <w:spacing w:line="360" w:lineRule="exact"/>
              <w:rPr>
                <w:rFonts w:ascii="Times New Roman" w:hAnsi="Times New Roman" w:eastAsia="宋体" w:cstheme="minorBidi"/>
                <w:szCs w:val="21"/>
              </w:rPr>
            </w:pPr>
            <w:r>
              <w:rPr>
                <w:rFonts w:ascii="Times New Roman" w:hAnsi="Times New Roman" w:eastAsia="宋体" w:cstheme="minorBidi"/>
                <w:szCs w:val="21"/>
              </w:rPr>
              <w:t>数据科学与大数据技术（080910T）</w:t>
            </w:r>
          </w:p>
        </w:tc>
        <w:tc>
          <w:tcPr>
            <w:tcW w:w="1647" w:type="dxa"/>
            <w:tcBorders>
              <w:top w:val="single" w:color="auto" w:sz="12" w:space="0"/>
              <w:bottom w:val="single" w:color="auto" w:sz="6" w:space="0"/>
              <w:right w:val="nil"/>
              <w:insideH w:val="single" w:sz="6" w:space="0"/>
              <w:insideV w:val="nil"/>
              <w:tl2br w:val="nil"/>
              <w:tr2bl w:val="nil"/>
            </w:tcBorders>
            <w:vAlign w:val="center"/>
          </w:tcPr>
          <w:p>
            <w:pPr>
              <w:wordWrap/>
              <w:spacing w:line="360" w:lineRule="exact"/>
              <w:rPr>
                <w:rFonts w:ascii="Times New Roman" w:hAnsi="Times New Roman" w:eastAsia="宋体" w:cstheme="minorBidi"/>
                <w:szCs w:val="21"/>
              </w:rPr>
            </w:pPr>
            <w:r>
              <w:rPr>
                <w:rFonts w:ascii="Times New Roman" w:hAnsi="Times New Roman" w:eastAsia="宋体" w:cstheme="minorBidi"/>
                <w:szCs w:val="21"/>
              </w:rPr>
              <w:t>电子商务（120801）</w:t>
            </w:r>
          </w:p>
        </w:tc>
        <w:tc>
          <w:tcPr>
            <w:tcW w:w="1647" w:type="dxa"/>
            <w:tcBorders>
              <w:top w:val="single" w:color="auto" w:sz="12" w:space="0"/>
              <w:bottom w:val="single" w:color="auto" w:sz="6" w:space="0"/>
              <w:right w:val="nil"/>
              <w:insideH w:val="single" w:sz="6" w:space="0"/>
              <w:insideV w:val="nil"/>
              <w:tl2br w:val="nil"/>
              <w:tr2bl w:val="nil"/>
            </w:tcBorders>
            <w:vAlign w:val="center"/>
          </w:tcPr>
          <w:p>
            <w:pPr>
              <w:wordWrap/>
              <w:spacing w:line="360" w:lineRule="exact"/>
              <w:rPr>
                <w:rFonts w:ascii="Times New Roman" w:hAnsi="Times New Roman" w:eastAsia="宋体" w:cstheme="minorBidi"/>
                <w:szCs w:val="21"/>
              </w:rPr>
            </w:pPr>
            <w:r>
              <w:rPr>
                <w:rFonts w:ascii="Times New Roman" w:hAnsi="Times New Roman" w:eastAsia="宋体" w:cstheme="minorBidi"/>
                <w:szCs w:val="21"/>
              </w:rPr>
              <w:t>国际经济与贸易（020401）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jc w:val="center"/>
        </w:trPr>
        <w:tc>
          <w:tcPr>
            <w:tcW w:w="1135"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学科门类</w:t>
            </w:r>
          </w:p>
        </w:tc>
        <w:tc>
          <w:tcPr>
            <w:tcW w:w="1817"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经济学</w:t>
            </w:r>
          </w:p>
        </w:tc>
        <w:tc>
          <w:tcPr>
            <w:tcW w:w="1647"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经济学</w:t>
            </w:r>
          </w:p>
        </w:tc>
        <w:tc>
          <w:tcPr>
            <w:tcW w:w="1704"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工学/理学</w:t>
            </w:r>
          </w:p>
        </w:tc>
        <w:tc>
          <w:tcPr>
            <w:tcW w:w="1647"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管理学</w:t>
            </w:r>
          </w:p>
        </w:tc>
        <w:tc>
          <w:tcPr>
            <w:tcW w:w="1647"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经济学</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jc w:val="center"/>
        </w:trPr>
        <w:tc>
          <w:tcPr>
            <w:tcW w:w="1135"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核心定位</w:t>
            </w:r>
          </w:p>
        </w:tc>
        <w:tc>
          <w:tcPr>
            <w:tcW w:w="1817"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经济学理论+数字技术+数据要素分析</w:t>
            </w:r>
          </w:p>
        </w:tc>
        <w:tc>
          <w:tcPr>
            <w:tcW w:w="1647"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经济学理论研究与政策分析</w:t>
            </w:r>
          </w:p>
        </w:tc>
        <w:tc>
          <w:tcPr>
            <w:tcW w:w="1704"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数据基础设施构建与算法研发</w:t>
            </w:r>
          </w:p>
        </w:tc>
        <w:tc>
          <w:tcPr>
            <w:tcW w:w="1647"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电商平台运营与网络营销</w:t>
            </w:r>
          </w:p>
        </w:tc>
        <w:tc>
          <w:tcPr>
            <w:tcW w:w="1647"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国际贸易规则与跨境商务</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jc w:val="center"/>
        </w:trPr>
        <w:tc>
          <w:tcPr>
            <w:tcW w:w="1135"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技术深度</w:t>
            </w:r>
          </w:p>
        </w:tc>
        <w:tc>
          <w:tcPr>
            <w:tcW w:w="1817"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中等</w:t>
            </w:r>
          </w:p>
        </w:tc>
        <w:tc>
          <w:tcPr>
            <w:tcW w:w="1647"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低</w:t>
            </w:r>
          </w:p>
        </w:tc>
        <w:tc>
          <w:tcPr>
            <w:tcW w:w="1704"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高</w:t>
            </w:r>
          </w:p>
        </w:tc>
        <w:tc>
          <w:tcPr>
            <w:tcW w:w="1647"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中等</w:t>
            </w:r>
          </w:p>
        </w:tc>
        <w:tc>
          <w:tcPr>
            <w:tcW w:w="1647"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低</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135"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经济学深度</w:t>
            </w:r>
          </w:p>
        </w:tc>
        <w:tc>
          <w:tcPr>
            <w:tcW w:w="1817"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高</w:t>
            </w:r>
          </w:p>
        </w:tc>
        <w:tc>
          <w:tcPr>
            <w:tcW w:w="1647"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高</w:t>
            </w:r>
          </w:p>
        </w:tc>
        <w:tc>
          <w:tcPr>
            <w:tcW w:w="1704"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低</w:t>
            </w:r>
          </w:p>
        </w:tc>
        <w:tc>
          <w:tcPr>
            <w:tcW w:w="1647"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中等</w:t>
            </w:r>
          </w:p>
        </w:tc>
        <w:tc>
          <w:tcPr>
            <w:tcW w:w="1647"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高</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9" w:hRule="atLeast"/>
          <w:jc w:val="center"/>
        </w:trPr>
        <w:tc>
          <w:tcPr>
            <w:tcW w:w="1135"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典型就业</w:t>
            </w:r>
          </w:p>
        </w:tc>
        <w:tc>
          <w:tcPr>
            <w:tcW w:w="1817"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数据分析师、数字化咨询、跨境数字贸易</w:t>
            </w:r>
          </w:p>
        </w:tc>
        <w:tc>
          <w:tcPr>
            <w:tcW w:w="1647"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经济研究、政策分析、金融</w:t>
            </w:r>
          </w:p>
        </w:tc>
        <w:tc>
          <w:tcPr>
            <w:tcW w:w="1704"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数据工程师、算法工程师</w:t>
            </w:r>
          </w:p>
        </w:tc>
        <w:tc>
          <w:tcPr>
            <w:tcW w:w="1647"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电商运营、网络营销</w:t>
            </w:r>
          </w:p>
        </w:tc>
        <w:tc>
          <w:tcPr>
            <w:tcW w:w="1647"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外贸业务、国际结算</w:t>
            </w:r>
          </w:p>
        </w:tc>
      </w:tr>
    </w:tbl>
    <w:p>
      <w:pPr>
        <w:spacing w:line="360" w:lineRule="auto"/>
        <w:ind w:firstLine="420" w:firstLineChars="200"/>
        <w:rPr>
          <w:rFonts w:ascii="Times New Roman" w:hAnsi="Times New Roman"/>
          <w:bCs/>
          <w:szCs w:val="21"/>
        </w:rPr>
      </w:pPr>
      <w:r>
        <w:rPr>
          <w:rFonts w:ascii="Times New Roman" w:hAnsi="Times New Roman"/>
          <w:bCs/>
          <w:szCs w:val="21"/>
        </w:rPr>
        <w:t>资料来源：根据教育部《普通高等学校本科专业目录（2025年）》、相关专业本科人才培养方案及高校公开专业介绍整理。</w:t>
      </w:r>
    </w:p>
    <w:p>
      <w:pPr>
        <w:spacing w:line="360" w:lineRule="auto"/>
        <w:ind w:firstLine="480" w:firstLineChars="200"/>
        <w:rPr>
          <w:rFonts w:ascii="Times New Roman" w:hAnsi="Times New Roman"/>
          <w:bCs/>
          <w:sz w:val="24"/>
        </w:rPr>
      </w:pPr>
    </w:p>
    <w:p>
      <w:pPr>
        <w:pStyle w:val="4"/>
        <w:spacing w:line="360" w:lineRule="auto"/>
        <w:ind w:firstLine="482"/>
        <w:rPr>
          <w:rFonts w:cs="Times New Roman"/>
          <w:sz w:val="24"/>
          <w:szCs w:val="24"/>
        </w:rPr>
      </w:pPr>
      <w:bookmarkStart w:id="34" w:name="_Toc230619156"/>
      <w:bookmarkStart w:id="35" w:name="_Toc23922"/>
      <w:bookmarkStart w:id="36" w:name="_Toc20194"/>
      <w:bookmarkStart w:id="37" w:name="_Toc230546444"/>
      <w:r>
        <w:rPr>
          <w:rFonts w:cs="Times New Roman"/>
          <w:sz w:val="24"/>
          <w:szCs w:val="24"/>
        </w:rPr>
        <w:t>2.3 发展历程</w:t>
      </w:r>
      <w:bookmarkEnd w:id="34"/>
      <w:bookmarkEnd w:id="35"/>
      <w:bookmarkEnd w:id="36"/>
      <w:bookmarkEnd w:id="37"/>
    </w:p>
    <w:p>
      <w:pPr>
        <w:spacing w:line="360" w:lineRule="auto"/>
        <w:ind w:firstLine="480" w:firstLineChars="200"/>
        <w:rPr>
          <w:rFonts w:ascii="Times New Roman" w:hAnsi="Times New Roman"/>
          <w:sz w:val="24"/>
        </w:rPr>
      </w:pPr>
      <w:r>
        <w:rPr>
          <w:rFonts w:ascii="Times New Roman" w:hAnsi="Times New Roman"/>
          <w:sz w:val="24"/>
        </w:rPr>
        <w:t>我国数字经济的发展可划分为四个阶段。1994至2012年为技术驱动阶段，互联网接入中国，电子商务萌芽，以阿里巴巴、京东为代表的首批电商平台出现。2013至2019年为平台崛起阶段，4G商用和智能手机普及推动移动支付、共享经济等新业态涌现，2017年数字经济首次写入政府工作报告。2020</w:t>
      </w:r>
      <w:r>
        <w:rPr>
          <w:rFonts w:hint="eastAsia" w:ascii="Times New Roman" w:hAnsi="Times New Roman"/>
          <w:sz w:val="24"/>
        </w:rPr>
        <w:t>—</w:t>
      </w:r>
      <w:r>
        <w:rPr>
          <w:rFonts w:ascii="Times New Roman" w:hAnsi="Times New Roman"/>
          <w:sz w:val="24"/>
        </w:rPr>
        <w:t>2023年为制度完善阶段，《</w:t>
      </w:r>
      <w:r>
        <w:rPr>
          <w:rFonts w:hint="eastAsia" w:ascii="Times New Roman" w:hAnsi="Times New Roman"/>
          <w:sz w:val="24"/>
        </w:rPr>
        <w:t>中华人民共和国数据安全法</w:t>
      </w:r>
      <w:r>
        <w:rPr>
          <w:rFonts w:ascii="Times New Roman" w:hAnsi="Times New Roman"/>
          <w:sz w:val="24"/>
        </w:rPr>
        <w:t>》《</w:t>
      </w:r>
      <w:r>
        <w:rPr>
          <w:rFonts w:hint="eastAsia" w:ascii="Times New Roman" w:hAnsi="Times New Roman"/>
          <w:sz w:val="24"/>
        </w:rPr>
        <w:t>中华人民共和国个人信息保护法</w:t>
      </w:r>
      <w:r>
        <w:rPr>
          <w:rFonts w:ascii="Times New Roman" w:hAnsi="Times New Roman"/>
          <w:sz w:val="24"/>
        </w:rPr>
        <w:t>》出台，数据二十条发布，数据要素市场化配置改革启动。2024年至今为深度融合阶段，生成式人工智能爆发，大模型在经济分析、内容生产、智能客服等领域广泛应用，RCEP框架下</w:t>
      </w:r>
      <w:r>
        <w:rPr>
          <w:rFonts w:hint="eastAsia" w:ascii="Times New Roman" w:hAnsi="Times New Roman"/>
          <w:sz w:val="24"/>
        </w:rPr>
        <w:t>中国—东盟</w:t>
      </w:r>
      <w:r>
        <w:rPr>
          <w:rFonts w:ascii="Times New Roman" w:hAnsi="Times New Roman"/>
          <w:sz w:val="24"/>
        </w:rPr>
        <w:t>数字贸易规则对接加速，数字经济进入AI赋能与跨境融合的新阶段。</w:t>
      </w:r>
    </w:p>
    <w:p>
      <w:pPr>
        <w:spacing w:line="360" w:lineRule="auto"/>
        <w:ind w:firstLine="480" w:firstLineChars="200"/>
        <w:rPr>
          <w:rFonts w:ascii="Times New Roman" w:hAnsi="Times New Roman"/>
          <w:sz w:val="24"/>
        </w:rPr>
      </w:pPr>
      <w:r>
        <w:rPr>
          <w:rFonts w:ascii="Times New Roman" w:hAnsi="Times New Roman"/>
          <w:sz w:val="24"/>
        </w:rPr>
        <w:t>当前全球大模型竞争已经出现明显的路径分化。2026年4月，OpenAI发布GPT-5.5，定位高性能加闭源生态模式，强调能力上限突破，上下文窗口扩展至40万token。同期DeepSeek发布V4系列，定位低成本加开源扩散模式，通过开源策略和极致的工程优化，将API使用成本降至极低水平（V4-Pro输入价格低至0.25元/百万tokens），推动大模型从高端工具向普惠型数字基础设施转变。这种竞争格局使得AI能力得以快速、低成本地扩散至各类企业，加速了产业智能化进程</w:t>
      </w:r>
      <w:r>
        <w:rPr>
          <w:rFonts w:ascii="Times New Roman" w:hAnsi="Times New Roman"/>
          <w:sz w:val="24"/>
          <w:vertAlign w:val="superscript"/>
        </w:rPr>
        <w:footnoteReference w:id="7"/>
      </w:r>
      <w:r>
        <w:rPr>
          <w:rFonts w:ascii="Times New Roman" w:hAnsi="Times New Roman"/>
          <w:sz w:val="24"/>
        </w:rPr>
        <w:t>。</w:t>
      </w:r>
      <w:bookmarkStart w:id="38" w:name="_Toc230546445"/>
    </w:p>
    <w:p>
      <w:pPr>
        <w:pStyle w:val="3"/>
        <w:spacing w:before="120" w:beforeLines="50" w:after="120" w:afterLines="50"/>
        <w:jc w:val="center"/>
        <w:rPr>
          <w:rFonts w:ascii="Times New Roman" w:hAnsi="Times New Roman" w:cs="Times New Roman"/>
          <w:sz w:val="24"/>
          <w:szCs w:val="24"/>
        </w:rPr>
      </w:pPr>
      <w:bookmarkStart w:id="39" w:name="_Toc7162"/>
      <w:bookmarkStart w:id="40" w:name="_Toc16328"/>
      <w:bookmarkStart w:id="41" w:name="_Toc230619157"/>
      <w:r>
        <w:rPr>
          <w:rFonts w:ascii="Times New Roman" w:hAnsi="Times New Roman" w:cs="Times New Roman"/>
          <w:sz w:val="24"/>
          <w:szCs w:val="24"/>
        </w:rPr>
        <w:t>三、产业链深度拆解：上中下游协同发展的网络化生态</w:t>
      </w:r>
      <w:bookmarkEnd w:id="38"/>
      <w:bookmarkEnd w:id="39"/>
      <w:bookmarkEnd w:id="40"/>
      <w:bookmarkEnd w:id="41"/>
    </w:p>
    <w:p>
      <w:pPr>
        <w:spacing w:line="360" w:lineRule="auto"/>
        <w:ind w:firstLine="480" w:firstLineChars="200"/>
        <w:rPr>
          <w:rFonts w:ascii="Times New Roman" w:hAnsi="Times New Roman"/>
          <w:sz w:val="24"/>
        </w:rPr>
      </w:pPr>
      <w:r>
        <w:rPr>
          <w:rFonts w:ascii="Times New Roman" w:hAnsi="Times New Roman"/>
          <w:sz w:val="24"/>
        </w:rPr>
        <w:t>数字经济的产业生态不同于传统制造业的线性产业链，而是以数据要素流动为核心、以平台生态为载体的网络化结构。本节采用上中下游加支撑体系的规范框架进行分析，并结合广西产业数据进行区域定位。</w:t>
      </w:r>
    </w:p>
    <w:p>
      <w:pPr>
        <w:pStyle w:val="4"/>
        <w:spacing w:line="360" w:lineRule="auto"/>
        <w:ind w:firstLine="482"/>
        <w:rPr>
          <w:rFonts w:cs="Times New Roman"/>
          <w:sz w:val="24"/>
          <w:szCs w:val="24"/>
        </w:rPr>
      </w:pPr>
      <w:bookmarkStart w:id="42" w:name="_Toc23881"/>
      <w:bookmarkStart w:id="43" w:name="_Toc230619158"/>
      <w:bookmarkStart w:id="44" w:name="_Toc230546446"/>
      <w:bookmarkStart w:id="45" w:name="_Toc19569"/>
      <w:r>
        <w:rPr>
          <w:rFonts w:cs="Times New Roman"/>
          <w:sz w:val="24"/>
          <w:szCs w:val="24"/>
        </w:rPr>
        <w:t>3.1 上游：数字基础设施与数据资源供给</w:t>
      </w:r>
      <w:bookmarkEnd w:id="42"/>
      <w:bookmarkEnd w:id="43"/>
      <w:bookmarkEnd w:id="44"/>
      <w:bookmarkEnd w:id="45"/>
    </w:p>
    <w:p>
      <w:pPr>
        <w:spacing w:line="360" w:lineRule="auto"/>
        <w:ind w:firstLine="480" w:firstLineChars="200"/>
        <w:rPr>
          <w:rFonts w:ascii="Times New Roman" w:hAnsi="Times New Roman"/>
          <w:sz w:val="24"/>
        </w:rPr>
      </w:pPr>
      <w:r>
        <w:rPr>
          <w:rFonts w:ascii="Times New Roman" w:hAnsi="Times New Roman"/>
          <w:sz w:val="24"/>
        </w:rPr>
        <w:t>在数字基础设施方面，广西依托全国基础设施建设的快速推进，已形成初步规模。2024年广西5G基站数量突破13.9万个，物联网终端用户达2876.3万，算力总规模达3.1 EFLOPS。中国—东盟人工智能计算中心累计服务98家单位，南宁成为全国第4个设立国际通信业务出入口局的城市，为面向东盟的数字合作提供了关键基础设施支撑</w:t>
      </w:r>
      <w:r>
        <w:rPr>
          <w:rFonts w:ascii="Times New Roman" w:hAnsi="Times New Roman"/>
          <w:sz w:val="24"/>
          <w:vertAlign w:val="superscript"/>
        </w:rPr>
        <w:footnoteReference w:id="8"/>
      </w:r>
      <w:r>
        <w:rPr>
          <w:rFonts w:ascii="Times New Roman" w:hAnsi="Times New Roman"/>
          <w:sz w:val="24"/>
        </w:rPr>
        <w:t>。</w:t>
      </w:r>
    </w:p>
    <w:p>
      <w:pPr>
        <w:spacing w:line="360" w:lineRule="auto"/>
        <w:ind w:firstLine="480" w:firstLineChars="200"/>
        <w:rPr>
          <w:rFonts w:ascii="Times New Roman" w:hAnsi="Times New Roman"/>
          <w:sz w:val="24"/>
        </w:rPr>
      </w:pPr>
      <w:r>
        <w:rPr>
          <w:rFonts w:ascii="Times New Roman" w:hAnsi="Times New Roman"/>
          <w:sz w:val="24"/>
        </w:rPr>
        <w:t>在数据资源供给方面，数据采集、标注、清洗、交易构成完整链条。广西特色在于面向东盟的多语言数据标注产业快速崛起，2024年该领域企业营收增速超40%，为东盟大模型的训练提供了核心数据支撑。这一领域的人才需求，正是本专业东盟小语种加数据处理复合培养方向的现实依据。</w:t>
      </w:r>
    </w:p>
    <w:p>
      <w:pPr>
        <w:pStyle w:val="4"/>
        <w:spacing w:line="360" w:lineRule="auto"/>
        <w:ind w:firstLine="482"/>
        <w:rPr>
          <w:rFonts w:cs="Times New Roman"/>
          <w:sz w:val="24"/>
          <w:szCs w:val="24"/>
        </w:rPr>
      </w:pPr>
      <w:bookmarkStart w:id="46" w:name="_Toc6537"/>
      <w:bookmarkStart w:id="47" w:name="_Toc8490"/>
      <w:bookmarkStart w:id="48" w:name="_Toc230619159"/>
      <w:bookmarkStart w:id="49" w:name="_Toc230546447"/>
      <w:r>
        <w:rPr>
          <w:rFonts w:cs="Times New Roman"/>
          <w:sz w:val="24"/>
          <w:szCs w:val="24"/>
        </w:rPr>
        <w:t>3.2 中游：数字技术产业化</w:t>
      </w:r>
      <w:bookmarkEnd w:id="46"/>
      <w:bookmarkEnd w:id="47"/>
      <w:bookmarkEnd w:id="48"/>
      <w:bookmarkEnd w:id="49"/>
    </w:p>
    <w:p>
      <w:pPr>
        <w:spacing w:line="360" w:lineRule="auto"/>
        <w:ind w:firstLine="480" w:firstLineChars="200"/>
        <w:rPr>
          <w:rFonts w:ascii="Times New Roman" w:hAnsi="Times New Roman"/>
          <w:sz w:val="24"/>
        </w:rPr>
      </w:pPr>
      <w:r>
        <w:rPr>
          <w:rFonts w:ascii="Times New Roman" w:hAnsi="Times New Roman"/>
          <w:sz w:val="24"/>
        </w:rPr>
        <w:t>大数据分析、人工智能算法、区块链技术、隐私计算等构成核心技术集群。广西特色亮点包括：全球首个面向东盟的法律大模型落地广西；2024年广西软件和信息技术服务业营收增速达15.8%，高于全国平均水平</w:t>
      </w:r>
      <w:r>
        <w:rPr>
          <w:rFonts w:ascii="Times New Roman" w:hAnsi="Times New Roman"/>
          <w:sz w:val="24"/>
          <w:vertAlign w:val="superscript"/>
        </w:rPr>
        <w:footnoteReference w:id="9"/>
      </w:r>
      <w:r>
        <w:rPr>
          <w:rFonts w:ascii="Times New Roman" w:hAnsi="Times New Roman"/>
          <w:sz w:val="24"/>
        </w:rPr>
        <w:t>。从全国来看，2025年上半年我国软件和信息技术服务业运行态势良好，软件业务收入达7.06万亿元，同比增长11.9%，其中基础软件产品收入903亿元，工业软件收入1445亿元。国产操作系统在桌面、服务器、手机、云服务等主要领域已基本完成原始技术积累，鸿蒙生态设备总量突破11.9亿台，覆盖1200多类产品。这些变化意味着数字技术产业化正在加速推进，相关人才需求仍会持续增长</w:t>
      </w:r>
      <w:r>
        <w:rPr>
          <w:rFonts w:ascii="Times New Roman" w:hAnsi="Times New Roman"/>
          <w:sz w:val="24"/>
          <w:vertAlign w:val="superscript"/>
        </w:rPr>
        <w:footnoteReference w:id="10"/>
      </w:r>
      <w:r>
        <w:rPr>
          <w:rFonts w:ascii="Times New Roman" w:hAnsi="Times New Roman"/>
          <w:sz w:val="24"/>
        </w:rPr>
        <w:t>。</w:t>
      </w:r>
    </w:p>
    <w:p>
      <w:pPr>
        <w:pStyle w:val="4"/>
        <w:spacing w:line="360" w:lineRule="auto"/>
        <w:ind w:firstLine="482"/>
        <w:rPr>
          <w:rFonts w:cs="Times New Roman"/>
          <w:sz w:val="24"/>
          <w:szCs w:val="24"/>
        </w:rPr>
      </w:pPr>
      <w:bookmarkStart w:id="50" w:name="_Toc12758"/>
      <w:bookmarkStart w:id="51" w:name="_Toc13934"/>
      <w:bookmarkStart w:id="52" w:name="_Toc230546448"/>
      <w:bookmarkStart w:id="53" w:name="_Toc230619160"/>
      <w:r>
        <w:rPr>
          <w:rFonts w:cs="Times New Roman"/>
          <w:sz w:val="24"/>
          <w:szCs w:val="24"/>
        </w:rPr>
        <w:t>3.3 下游：产业数字化与数字贸易</w:t>
      </w:r>
      <w:bookmarkEnd w:id="50"/>
      <w:bookmarkEnd w:id="51"/>
      <w:bookmarkEnd w:id="52"/>
      <w:bookmarkEnd w:id="53"/>
    </w:p>
    <w:p>
      <w:pPr>
        <w:spacing w:line="360" w:lineRule="auto"/>
        <w:ind w:firstLine="480" w:firstLineChars="200"/>
        <w:rPr>
          <w:rFonts w:ascii="Times New Roman" w:hAnsi="Times New Roman"/>
          <w:sz w:val="24"/>
        </w:rPr>
      </w:pPr>
      <w:r>
        <w:rPr>
          <w:rFonts w:ascii="Times New Roman" w:hAnsi="Times New Roman"/>
          <w:sz w:val="24"/>
        </w:rPr>
        <w:t>在数字商贸方面。阿里巴巴国际站、Lazada、Shopee、Temu、SHEIN等跨境电商平台在广西业务快速扩张。2024年广西跨境电商进出口额同比增长超200%，越南（35%）、泰国（22%）、印尼（18%）为前三大出口市场。在数字金融方面。面向东盟的跨境金融区块链服务平台累计完成融资超百亿美元，跨境征信服务平台累计调用量近亿次；广西数字人民币试点持续推进。在产业数字化方面，农业数字化增速达25%，建成5个国家数字农业创新应用基地；一键游广西智慧文旅平台累计用户超3000万</w:t>
      </w:r>
      <w:r>
        <w:rPr>
          <w:rFonts w:ascii="Times New Roman" w:hAnsi="Times New Roman"/>
          <w:sz w:val="24"/>
          <w:vertAlign w:val="superscript"/>
        </w:rPr>
        <w:footnoteReference w:id="11"/>
      </w:r>
      <w:r>
        <w:rPr>
          <w:rFonts w:ascii="Times New Roman" w:hAnsi="Times New Roman"/>
          <w:sz w:val="24"/>
        </w:rPr>
        <w:t>。</w:t>
      </w:r>
    </w:p>
    <w:p>
      <w:pPr>
        <w:pStyle w:val="4"/>
        <w:spacing w:line="360" w:lineRule="auto"/>
        <w:ind w:firstLine="482"/>
        <w:rPr>
          <w:rFonts w:cs="Times New Roman"/>
          <w:sz w:val="24"/>
          <w:szCs w:val="24"/>
        </w:rPr>
      </w:pPr>
      <w:bookmarkStart w:id="54" w:name="_Toc13380"/>
      <w:bookmarkStart w:id="55" w:name="_Toc230546449"/>
      <w:bookmarkStart w:id="56" w:name="_Toc230619161"/>
      <w:bookmarkStart w:id="57" w:name="_Toc5755"/>
      <w:r>
        <w:rPr>
          <w:rFonts w:cs="Times New Roman"/>
          <w:sz w:val="24"/>
          <w:szCs w:val="24"/>
        </w:rPr>
        <w:t>3.4 支撑体系：制度环境与人才供给</w:t>
      </w:r>
      <w:bookmarkEnd w:id="54"/>
      <w:bookmarkEnd w:id="55"/>
      <w:bookmarkEnd w:id="56"/>
      <w:bookmarkEnd w:id="57"/>
    </w:p>
    <w:p>
      <w:pPr>
        <w:spacing w:line="360" w:lineRule="auto"/>
        <w:ind w:firstLine="480" w:firstLineChars="200"/>
        <w:rPr>
          <w:rFonts w:ascii="Times New Roman" w:hAnsi="Times New Roman"/>
          <w:sz w:val="24"/>
        </w:rPr>
      </w:pPr>
      <w:r>
        <w:rPr>
          <w:rFonts w:hint="eastAsia" w:ascii="Times New Roman" w:hAnsi="Times New Roman"/>
          <w:sz w:val="24"/>
        </w:rPr>
        <w:t>在制度环境层面，以《数据安全法》等“三法”为核心的法律架构已基本确立，为数据治理提供了坚实的合规底线；与此同时，《数据二十条》与“数据要素×”三年行动计划协同发力，正加速驱动数据要素从资源化向价值化跃升</w:t>
      </w:r>
      <w:r>
        <w:rPr>
          <w:rFonts w:ascii="Times New Roman" w:hAnsi="Times New Roman"/>
          <w:sz w:val="24"/>
        </w:rPr>
        <w:t>。值得注意的是，全球AI治理正在进入更现实的阶段：美国已开始对前沿AI模型进行部署前国家安全评估，欧盟则在优化AI法案的落地节奏，全球监管正从抽象原则转向更具操作性的制度设计。这对数字经济专业人才培养提出了明确要求：毕业生必须具备合规意识、数据伦理观念以及对国际规则的理解</w:t>
      </w:r>
      <w:r>
        <w:rPr>
          <w:rFonts w:ascii="Times New Roman" w:hAnsi="Times New Roman"/>
          <w:sz w:val="24"/>
          <w:vertAlign w:val="superscript"/>
        </w:rPr>
        <w:footnoteReference w:id="12"/>
      </w:r>
      <w:r>
        <w:rPr>
          <w:rFonts w:ascii="Times New Roman" w:hAnsi="Times New Roman"/>
          <w:sz w:val="24"/>
        </w:rPr>
        <w:t>。</w:t>
      </w:r>
    </w:p>
    <w:p>
      <w:pPr>
        <w:spacing w:line="360" w:lineRule="auto"/>
        <w:ind w:firstLine="480" w:firstLineChars="200"/>
        <w:rPr>
          <w:rFonts w:ascii="Times New Roman" w:hAnsi="Times New Roman"/>
          <w:sz w:val="24"/>
        </w:rPr>
      </w:pPr>
      <w:r>
        <w:rPr>
          <w:rFonts w:ascii="Times New Roman" w:hAnsi="Times New Roman"/>
          <w:sz w:val="24"/>
        </w:rPr>
        <w:t>人才供给则是整个产业生态的最大瓶颈。据测算，全国数字经济人才缺口超3200万人，广西数字经济企业2024年达1.93万家，人才需求与供给之间的矛盾尤为突出（详见第五节）</w:t>
      </w:r>
      <w:r>
        <w:rPr>
          <w:rFonts w:ascii="Times New Roman" w:hAnsi="Times New Roman"/>
          <w:sz w:val="24"/>
          <w:vertAlign w:val="superscript"/>
        </w:rPr>
        <w:footnoteReference w:id="13"/>
      </w:r>
      <w:r>
        <w:rPr>
          <w:rFonts w:ascii="Times New Roman" w:hAnsi="Times New Roman"/>
          <w:sz w:val="24"/>
        </w:rPr>
        <w:t>。如表3所示，广西在数字基础设施、跨境数字贸易、多语言数据服务和面向东盟场景方面具有较强卡位优势，但也暴露出复合型人才供给不足的短板。</w:t>
      </w:r>
    </w:p>
    <w:p>
      <w:pPr>
        <w:spacing w:line="360" w:lineRule="auto"/>
        <w:jc w:val="center"/>
        <w:rPr>
          <w:rFonts w:ascii="Times New Roman" w:hAnsi="Times New Roman"/>
          <w:sz w:val="24"/>
        </w:rPr>
      </w:pPr>
      <w:r>
        <w:rPr>
          <w:rFonts w:ascii="Times New Roman" w:hAnsi="Times New Roman"/>
          <w:sz w:val="24"/>
        </w:rPr>
        <w:t>表3   数字经济产业链结构与广西产业卡位</w:t>
      </w:r>
    </w:p>
    <w:tbl>
      <w:tblPr>
        <w:tblStyle w:val="180"/>
        <w:tblW w:w="9317"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46"/>
        <w:gridCol w:w="2257"/>
        <w:gridCol w:w="2373"/>
        <w:gridCol w:w="2084"/>
        <w:gridCol w:w="1157"/>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446" w:type="dxa"/>
            <w:tcBorders>
              <w:top w:val="single" w:color="auto" w:sz="12" w:space="0"/>
              <w:left w:val="nil"/>
              <w:bottom w:val="single" w:color="auto" w:sz="6" w:space="0"/>
              <w:right w:val="nil"/>
              <w:insideH w:val="single" w:sz="6" w:space="0"/>
              <w:insideV w:val="nil"/>
              <w:tl2br w:val="nil"/>
              <w:tr2bl w:val="nil"/>
            </w:tcBorders>
            <w:vAlign w:val="center"/>
          </w:tcPr>
          <w:p>
            <w:pPr>
              <w:wordWrap/>
              <w:spacing w:line="360" w:lineRule="exact"/>
              <w:rPr>
                <w:rFonts w:ascii="Times New Roman" w:hAnsi="Times New Roman" w:eastAsia="宋体" w:cstheme="minorBidi"/>
                <w:szCs w:val="21"/>
              </w:rPr>
            </w:pPr>
            <w:r>
              <w:rPr>
                <w:rFonts w:ascii="Times New Roman" w:hAnsi="Times New Roman" w:eastAsia="宋体" w:cstheme="minorBidi"/>
                <w:szCs w:val="21"/>
              </w:rPr>
              <w:t>产业链环节</w:t>
            </w:r>
          </w:p>
        </w:tc>
        <w:tc>
          <w:tcPr>
            <w:tcW w:w="2257" w:type="dxa"/>
            <w:tcBorders>
              <w:top w:val="single" w:color="auto" w:sz="12" w:space="0"/>
              <w:bottom w:val="single" w:color="auto" w:sz="6" w:space="0"/>
              <w:right w:val="nil"/>
              <w:insideH w:val="single" w:sz="6" w:space="0"/>
              <w:insideV w:val="nil"/>
              <w:tl2br w:val="nil"/>
              <w:tr2bl w:val="nil"/>
            </w:tcBorders>
            <w:vAlign w:val="center"/>
          </w:tcPr>
          <w:p>
            <w:pPr>
              <w:wordWrap/>
              <w:spacing w:line="360" w:lineRule="exact"/>
              <w:rPr>
                <w:rFonts w:ascii="Times New Roman" w:hAnsi="Times New Roman" w:eastAsia="宋体" w:cstheme="minorBidi"/>
                <w:szCs w:val="21"/>
              </w:rPr>
            </w:pPr>
            <w:r>
              <w:rPr>
                <w:rFonts w:ascii="Times New Roman" w:hAnsi="Times New Roman" w:eastAsia="宋体" w:cstheme="minorBidi"/>
                <w:szCs w:val="21"/>
              </w:rPr>
              <w:t>核心要素</w:t>
            </w:r>
          </w:p>
        </w:tc>
        <w:tc>
          <w:tcPr>
            <w:tcW w:w="2373" w:type="dxa"/>
            <w:tcBorders>
              <w:top w:val="single" w:color="auto" w:sz="12" w:space="0"/>
              <w:bottom w:val="single" w:color="auto" w:sz="6" w:space="0"/>
              <w:right w:val="nil"/>
              <w:insideH w:val="single" w:sz="6" w:space="0"/>
              <w:insideV w:val="nil"/>
              <w:tl2br w:val="nil"/>
              <w:tr2bl w:val="nil"/>
            </w:tcBorders>
            <w:vAlign w:val="center"/>
          </w:tcPr>
          <w:p>
            <w:pPr>
              <w:wordWrap/>
              <w:spacing w:line="360" w:lineRule="exact"/>
              <w:rPr>
                <w:rFonts w:ascii="Times New Roman" w:hAnsi="Times New Roman" w:eastAsia="宋体" w:cstheme="minorBidi"/>
                <w:szCs w:val="21"/>
              </w:rPr>
            </w:pPr>
            <w:r>
              <w:rPr>
                <w:rFonts w:ascii="Times New Roman" w:hAnsi="Times New Roman" w:eastAsia="宋体" w:cstheme="minorBidi"/>
                <w:szCs w:val="21"/>
              </w:rPr>
              <w:t>参与主体</w:t>
            </w:r>
          </w:p>
        </w:tc>
        <w:tc>
          <w:tcPr>
            <w:tcW w:w="2084" w:type="dxa"/>
            <w:tcBorders>
              <w:top w:val="single" w:color="auto" w:sz="12" w:space="0"/>
              <w:bottom w:val="single" w:color="auto" w:sz="6" w:space="0"/>
              <w:right w:val="nil"/>
              <w:insideH w:val="single" w:sz="6" w:space="0"/>
              <w:insideV w:val="nil"/>
              <w:tl2br w:val="nil"/>
              <w:tr2bl w:val="nil"/>
            </w:tcBorders>
            <w:vAlign w:val="center"/>
          </w:tcPr>
          <w:p>
            <w:pPr>
              <w:wordWrap/>
              <w:spacing w:line="360" w:lineRule="exact"/>
              <w:rPr>
                <w:rFonts w:ascii="Times New Roman" w:hAnsi="Times New Roman" w:eastAsia="宋体" w:cstheme="minorBidi"/>
                <w:szCs w:val="21"/>
              </w:rPr>
            </w:pPr>
            <w:r>
              <w:rPr>
                <w:rFonts w:ascii="Times New Roman" w:hAnsi="Times New Roman" w:eastAsia="宋体" w:cstheme="minorBidi"/>
                <w:szCs w:val="21"/>
              </w:rPr>
              <w:t>典型产品/服务</w:t>
            </w:r>
          </w:p>
        </w:tc>
        <w:tc>
          <w:tcPr>
            <w:tcW w:w="1157" w:type="dxa"/>
            <w:tcBorders>
              <w:top w:val="single" w:color="auto" w:sz="12" w:space="0"/>
              <w:bottom w:val="single" w:color="auto" w:sz="6" w:space="0"/>
              <w:right w:val="nil"/>
              <w:insideH w:val="single" w:sz="6" w:space="0"/>
              <w:insideV w:val="nil"/>
              <w:tl2br w:val="nil"/>
              <w:tr2bl w:val="nil"/>
            </w:tcBorders>
            <w:vAlign w:val="center"/>
          </w:tcPr>
          <w:p>
            <w:pPr>
              <w:wordWrap/>
              <w:spacing w:line="360" w:lineRule="exact"/>
              <w:rPr>
                <w:rFonts w:ascii="Times New Roman" w:hAnsi="Times New Roman" w:eastAsia="宋体" w:cstheme="minorBidi"/>
                <w:szCs w:val="21"/>
              </w:rPr>
            </w:pPr>
            <w:r>
              <w:rPr>
                <w:rFonts w:ascii="Times New Roman" w:hAnsi="Times New Roman" w:eastAsia="宋体" w:cstheme="minorBidi"/>
                <w:szCs w:val="21"/>
              </w:rPr>
              <w:t>广西增速</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446"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上游</w:t>
            </w:r>
          </w:p>
        </w:tc>
        <w:tc>
          <w:tcPr>
            <w:tcW w:w="2257"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数字基础设施、数据资源</w:t>
            </w:r>
          </w:p>
        </w:tc>
        <w:tc>
          <w:tcPr>
            <w:tcW w:w="2373"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电信运营商、云服务商</w:t>
            </w:r>
          </w:p>
        </w:tc>
        <w:tc>
          <w:tcPr>
            <w:tcW w:w="2084"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云计算服务、多语言数据标注</w:t>
            </w:r>
          </w:p>
        </w:tc>
        <w:tc>
          <w:tcPr>
            <w:tcW w:w="1157"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12.5%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446"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中游</w:t>
            </w:r>
          </w:p>
        </w:tc>
        <w:tc>
          <w:tcPr>
            <w:tcW w:w="2257"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数字技术工具与平台</w:t>
            </w:r>
          </w:p>
        </w:tc>
        <w:tc>
          <w:tcPr>
            <w:tcW w:w="2373"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软件企业、AI公司</w:t>
            </w:r>
          </w:p>
        </w:tc>
        <w:tc>
          <w:tcPr>
            <w:tcW w:w="2084"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东盟大模型、数据分析平台</w:t>
            </w:r>
          </w:p>
        </w:tc>
        <w:tc>
          <w:tcPr>
            <w:tcW w:w="1157"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15.8%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446"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下游</w:t>
            </w:r>
          </w:p>
        </w:tc>
        <w:tc>
          <w:tcPr>
            <w:tcW w:w="2257"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产业数字化解决方案</w:t>
            </w:r>
          </w:p>
        </w:tc>
        <w:tc>
          <w:tcPr>
            <w:tcW w:w="2373"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平台企业、传统企业</w:t>
            </w:r>
          </w:p>
        </w:tc>
        <w:tc>
          <w:tcPr>
            <w:tcW w:w="2084"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跨境电商、智慧供应链</w:t>
            </w:r>
          </w:p>
        </w:tc>
        <w:tc>
          <w:tcPr>
            <w:tcW w:w="1157"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20.3%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1446"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支撑体系</w:t>
            </w:r>
          </w:p>
        </w:tc>
        <w:tc>
          <w:tcPr>
            <w:tcW w:w="2257"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制度环境与专业服务</w:t>
            </w:r>
          </w:p>
        </w:tc>
        <w:tc>
          <w:tcPr>
            <w:tcW w:w="2373"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政府部门、高校</w:t>
            </w:r>
          </w:p>
        </w:tc>
        <w:tc>
          <w:tcPr>
            <w:tcW w:w="2084"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数据交易规则、人才培养</w:t>
            </w:r>
          </w:p>
        </w:tc>
        <w:tc>
          <w:tcPr>
            <w:tcW w:w="1157" w:type="dxa"/>
            <w:vAlign w:val="center"/>
          </w:tcPr>
          <w:p>
            <w:pPr>
              <w:jc w:val="center"/>
              <w:rPr>
                <w:rFonts w:ascii="Times New Roman" w:hAnsi="Times New Roman" w:eastAsia="Times New Roman" w:cstheme="minorBidi"/>
                <w:szCs w:val="21"/>
              </w:rPr>
            </w:pPr>
            <w:r>
              <w:rPr>
                <w:rFonts w:ascii="Times New Roman" w:hAnsi="Times New Roman" w:eastAsia="Times New Roman" w:cstheme="minorBidi"/>
                <w:szCs w:val="21"/>
              </w:rPr>
              <w:t>8.7%</w:t>
            </w:r>
          </w:p>
        </w:tc>
      </w:tr>
    </w:tbl>
    <w:p>
      <w:pPr>
        <w:spacing w:line="360" w:lineRule="auto"/>
        <w:ind w:firstLine="420" w:firstLineChars="200"/>
        <w:rPr>
          <w:rFonts w:ascii="Times New Roman" w:hAnsi="Times New Roman"/>
          <w:szCs w:val="21"/>
        </w:rPr>
      </w:pPr>
      <w:bookmarkStart w:id="58" w:name="_Toc230546450"/>
      <w:r>
        <w:rPr>
          <w:rFonts w:ascii="Times New Roman" w:hAnsi="Times New Roman"/>
          <w:szCs w:val="21"/>
        </w:rPr>
        <w:t>资料来源：根据广西壮族自治区信息中心《广西数字经济发展评估报告（2025年）》、广西壮族自治区人民政府门户网站公开信息、广西通信管理局《2023年广西互联网发展报告》等资料整理。</w:t>
      </w:r>
    </w:p>
    <w:p>
      <w:pPr>
        <w:spacing w:line="360" w:lineRule="auto"/>
        <w:ind w:firstLine="480" w:firstLineChars="200"/>
        <w:rPr>
          <w:rFonts w:ascii="Times New Roman" w:hAnsi="Times New Roman"/>
          <w:sz w:val="24"/>
        </w:rPr>
      </w:pPr>
    </w:p>
    <w:p>
      <w:pPr>
        <w:spacing w:line="360" w:lineRule="auto"/>
        <w:ind w:firstLine="480" w:firstLineChars="200"/>
        <w:rPr>
          <w:rFonts w:ascii="Times New Roman" w:hAnsi="Times New Roman"/>
          <w:sz w:val="24"/>
        </w:rPr>
      </w:pPr>
    </w:p>
    <w:p>
      <w:pPr>
        <w:pStyle w:val="3"/>
        <w:spacing w:before="120" w:beforeLines="50" w:after="120" w:afterLines="50"/>
        <w:jc w:val="center"/>
        <w:rPr>
          <w:rFonts w:ascii="Times New Roman" w:hAnsi="Times New Roman" w:cs="Times New Roman"/>
          <w:sz w:val="24"/>
          <w:szCs w:val="24"/>
        </w:rPr>
      </w:pPr>
      <w:bookmarkStart w:id="59" w:name="_Toc230619162"/>
      <w:bookmarkStart w:id="60" w:name="_Toc6907"/>
      <w:bookmarkStart w:id="61" w:name="_Toc8419"/>
      <w:r>
        <w:rPr>
          <w:rFonts w:ascii="Times New Roman" w:hAnsi="Times New Roman" w:cs="Times New Roman"/>
          <w:sz w:val="24"/>
          <w:szCs w:val="24"/>
        </w:rPr>
        <w:t>四、行业现状与市场规模</w:t>
      </w:r>
      <w:bookmarkEnd w:id="58"/>
      <w:bookmarkEnd w:id="59"/>
      <w:bookmarkEnd w:id="60"/>
      <w:bookmarkEnd w:id="61"/>
    </w:p>
    <w:p>
      <w:pPr>
        <w:pStyle w:val="4"/>
        <w:spacing w:line="360" w:lineRule="auto"/>
        <w:ind w:firstLine="482"/>
        <w:rPr>
          <w:rFonts w:cs="Times New Roman"/>
          <w:sz w:val="24"/>
          <w:szCs w:val="24"/>
        </w:rPr>
      </w:pPr>
      <w:bookmarkStart w:id="62" w:name="_Toc230619163"/>
      <w:bookmarkStart w:id="63" w:name="_Toc230546451"/>
      <w:bookmarkStart w:id="64" w:name="_Toc15764"/>
      <w:bookmarkStart w:id="65" w:name="_Toc21213"/>
      <w:r>
        <w:rPr>
          <w:rFonts w:cs="Times New Roman"/>
          <w:sz w:val="24"/>
          <w:szCs w:val="24"/>
        </w:rPr>
        <w:t>4.1 全国市场规模</w:t>
      </w:r>
      <w:bookmarkEnd w:id="62"/>
      <w:bookmarkEnd w:id="63"/>
      <w:bookmarkEnd w:id="64"/>
      <w:bookmarkEnd w:id="65"/>
    </w:p>
    <w:p>
      <w:pPr>
        <w:spacing w:line="360" w:lineRule="auto"/>
        <w:ind w:firstLine="480"/>
        <w:rPr>
          <w:rFonts w:ascii="Times New Roman" w:hAnsi="Times New Roman"/>
          <w:sz w:val="24"/>
        </w:rPr>
      </w:pPr>
      <w:r>
        <w:rPr>
          <w:rFonts w:ascii="Times New Roman" w:hAnsi="Times New Roman"/>
          <w:sz w:val="24"/>
        </w:rPr>
        <w:t>根据中国信通院《中国数字经济发展研究报告（2025年）》，2024年我国数字经济规模达59.2万亿元，同比名义增长9.69%，高于同期GDP名义增速5.5个百分点，占GDP比重达43.8%。数字经济全要素生产率增长贡献为23.75%，远高于同期其他技术与制度红利的全要素生产率增长贡献，已成为支撑经济运行的基础性力量。从更长周期看，我国数字经济规模从2012年的11.2万亿元增长至2024年的59.2万亿元，十二年间规模扩张了5.3倍，展现出强劲且可持续的增长韧性。如图1所示，数字经济规模和占GDP比重持续上升，说明数字经济已由增量产业逐步转变为支撑国民经济运行的基础性力量。</w:t>
      </w:r>
    </w:p>
    <w:p>
      <w:pPr>
        <w:spacing w:line="360" w:lineRule="auto"/>
        <w:jc w:val="center"/>
        <w:rPr>
          <w:rFonts w:ascii="Times New Roman" w:hAnsi="Times New Roman"/>
          <w:sz w:val="24"/>
        </w:rPr>
      </w:pPr>
      <w:r>
        <w:rPr>
          <w:rFonts w:ascii="Times New Roman" w:hAnsi="Times New Roman"/>
          <w:sz w:val="24"/>
        </w:rPr>
        <w:drawing>
          <wp:inline distT="0" distB="0" distL="0" distR="0">
            <wp:extent cx="4679950" cy="2463800"/>
            <wp:effectExtent l="0" t="0" r="6350" b="0"/>
            <wp:docPr id="3021057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105785" name="图片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4680000" cy="2464405"/>
                    </a:xfrm>
                    <a:prstGeom prst="rect">
                      <a:avLst/>
                    </a:prstGeom>
                    <a:noFill/>
                  </pic:spPr>
                </pic:pic>
              </a:graphicData>
            </a:graphic>
          </wp:inline>
        </w:drawing>
      </w:r>
    </w:p>
    <w:p>
      <w:pPr>
        <w:spacing w:line="360" w:lineRule="auto"/>
        <w:jc w:val="center"/>
        <w:rPr>
          <w:rFonts w:ascii="Times New Roman" w:hAnsi="Times New Roman"/>
          <w:sz w:val="24"/>
        </w:rPr>
      </w:pPr>
      <w:r>
        <w:rPr>
          <w:rFonts w:ascii="Times New Roman" w:hAnsi="Times New Roman"/>
          <w:sz w:val="24"/>
        </w:rPr>
        <w:t>图1 2020</w:t>
      </w:r>
      <w:r>
        <w:rPr>
          <w:rFonts w:hint="eastAsia" w:ascii="Times New Roman" w:hAnsi="Times New Roman"/>
          <w:sz w:val="24"/>
        </w:rPr>
        <w:t>—</w:t>
      </w:r>
      <w:r>
        <w:rPr>
          <w:rFonts w:ascii="Times New Roman" w:hAnsi="Times New Roman"/>
          <w:sz w:val="24"/>
        </w:rPr>
        <w:t>2024年全国数字经济规模及占GDP比重变化趋势图</w:t>
      </w:r>
    </w:p>
    <w:p>
      <w:pPr>
        <w:spacing w:line="360" w:lineRule="auto"/>
        <w:jc w:val="center"/>
        <w:rPr>
          <w:rFonts w:ascii="Times New Roman" w:hAnsi="Times New Roman"/>
          <w:szCs w:val="21"/>
        </w:rPr>
      </w:pPr>
      <w:r>
        <w:rPr>
          <w:rFonts w:ascii="Times New Roman" w:hAnsi="Times New Roman"/>
          <w:szCs w:val="21"/>
        </w:rPr>
        <w:t>资料来源：中国信息通信研究院公开报告整理。</w:t>
      </w:r>
    </w:p>
    <w:p>
      <w:pPr>
        <w:pStyle w:val="4"/>
        <w:spacing w:line="360" w:lineRule="auto"/>
        <w:ind w:firstLine="482"/>
        <w:rPr>
          <w:rFonts w:cs="Times New Roman"/>
          <w:sz w:val="24"/>
          <w:szCs w:val="24"/>
        </w:rPr>
      </w:pPr>
      <w:bookmarkStart w:id="66" w:name="_Toc230546452"/>
      <w:bookmarkStart w:id="67" w:name="_Toc16646"/>
      <w:bookmarkStart w:id="68" w:name="_Toc230619164"/>
      <w:bookmarkStart w:id="69" w:name="_Toc1283"/>
      <w:r>
        <w:rPr>
          <w:rFonts w:cs="Times New Roman"/>
          <w:sz w:val="24"/>
          <w:szCs w:val="24"/>
        </w:rPr>
        <w:t>4.2 广西区域市场</w:t>
      </w:r>
      <w:bookmarkEnd w:id="66"/>
      <w:bookmarkEnd w:id="67"/>
      <w:bookmarkEnd w:id="68"/>
      <w:bookmarkEnd w:id="69"/>
    </w:p>
    <w:p>
      <w:pPr>
        <w:spacing w:line="360" w:lineRule="auto"/>
        <w:ind w:firstLine="480" w:firstLineChars="200"/>
        <w:rPr>
          <w:rFonts w:ascii="Times New Roman" w:hAnsi="Times New Roman"/>
          <w:sz w:val="24"/>
        </w:rPr>
      </w:pPr>
      <w:r>
        <w:rPr>
          <w:rFonts w:ascii="Times New Roman" w:hAnsi="Times New Roman"/>
          <w:sz w:val="24"/>
        </w:rPr>
        <w:t>广西数字经济发展取得显著成效。2024年广西数字经济规模约1.12万亿元，同比增长10.2%，数字经济核心产业增加值约1750亿元，占GDP比重接近6%。广西信息中心编纂的《广西数字经济发展评估报告（2025年）》显示，2024年广西数字经济评估总体指数为68.61，呈现出稳步提升的发展趋势。《广西促进数字经济发展三年行动方案（2024</w:t>
      </w:r>
      <w:r>
        <w:rPr>
          <w:rFonts w:hint="eastAsia" w:ascii="Times New Roman" w:hAnsi="Times New Roman"/>
          <w:sz w:val="24"/>
        </w:rPr>
        <w:t>—</w:t>
      </w:r>
      <w:r>
        <w:rPr>
          <w:rFonts w:ascii="Times New Roman" w:hAnsi="Times New Roman"/>
          <w:sz w:val="24"/>
        </w:rPr>
        <w:t>2026年）》设定到2026年数字经济核心产业增加值达2000亿元、占GDP比重超7%的目标</w:t>
      </w:r>
      <w:r>
        <w:rPr>
          <w:rFonts w:ascii="Times New Roman" w:hAnsi="Times New Roman"/>
          <w:sz w:val="24"/>
          <w:vertAlign w:val="superscript"/>
        </w:rPr>
        <w:footnoteReference w:id="14"/>
      </w:r>
      <w:r>
        <w:rPr>
          <w:rFonts w:ascii="Times New Roman" w:hAnsi="Times New Roman"/>
          <w:sz w:val="24"/>
        </w:rPr>
        <w:t>。如表4所示，广西数字经济核心指标整体呈现稳步提升态势，产业规模、基础设施和跨境电商业态共同构成区域专业建设的现实土壤。</w:t>
      </w:r>
    </w:p>
    <w:p>
      <w:pPr>
        <w:spacing w:line="360" w:lineRule="auto"/>
        <w:jc w:val="center"/>
        <w:rPr>
          <w:rFonts w:ascii="Times New Roman" w:hAnsi="Times New Roman"/>
          <w:sz w:val="24"/>
        </w:rPr>
      </w:pPr>
      <w:r>
        <w:rPr>
          <w:rFonts w:ascii="Times New Roman" w:hAnsi="Times New Roman"/>
          <w:sz w:val="24"/>
        </w:rPr>
        <w:t>表4   2024年广西数字经济核心发展指标</w:t>
      </w:r>
    </w:p>
    <w:tbl>
      <w:tblPr>
        <w:tblStyle w:val="180"/>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190"/>
        <w:gridCol w:w="2784"/>
        <w:gridCol w:w="2784"/>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jc w:val="center"/>
        </w:trPr>
        <w:tc>
          <w:tcPr>
            <w:tcW w:w="3190" w:type="dxa"/>
            <w:tcBorders>
              <w:top w:val="single" w:color="auto" w:sz="12" w:space="0"/>
              <w:left w:val="nil"/>
              <w:bottom w:val="single" w:color="auto" w:sz="6" w:space="0"/>
              <w:right w:val="nil"/>
              <w:insideH w:val="single" w:sz="6" w:space="0"/>
              <w:insideV w:val="nil"/>
              <w:tl2br w:val="nil"/>
              <w:tr2bl w:val="nil"/>
            </w:tcBorders>
            <w:vAlign w:val="center"/>
          </w:tcPr>
          <w:p>
            <w:pPr>
              <w:wordWrap/>
              <w:spacing w:line="360" w:lineRule="auto"/>
              <w:jc w:val="center"/>
              <w:rPr>
                <w:rFonts w:ascii="Times New Roman" w:hAnsi="Times New Roman" w:eastAsia="宋体" w:cstheme="minorBidi"/>
                <w:szCs w:val="21"/>
              </w:rPr>
            </w:pPr>
            <w:r>
              <w:rPr>
                <w:rFonts w:ascii="Times New Roman" w:hAnsi="Times New Roman" w:eastAsia="宋体" w:cstheme="minorBidi"/>
                <w:szCs w:val="21"/>
              </w:rPr>
              <w:t>指标名称</w:t>
            </w:r>
          </w:p>
        </w:tc>
        <w:tc>
          <w:tcPr>
            <w:tcW w:w="2784" w:type="dxa"/>
            <w:tcBorders>
              <w:top w:val="single" w:color="auto" w:sz="12" w:space="0"/>
              <w:bottom w:val="single" w:color="auto" w:sz="6" w:space="0"/>
              <w:right w:val="nil"/>
              <w:insideH w:val="single" w:sz="6" w:space="0"/>
              <w:insideV w:val="nil"/>
              <w:tl2br w:val="nil"/>
              <w:tr2bl w:val="nil"/>
            </w:tcBorders>
            <w:vAlign w:val="center"/>
          </w:tcPr>
          <w:p>
            <w:pPr>
              <w:wordWrap/>
              <w:spacing w:line="360" w:lineRule="auto"/>
              <w:jc w:val="center"/>
              <w:rPr>
                <w:rFonts w:ascii="Times New Roman" w:hAnsi="Times New Roman" w:eastAsia="宋体" w:cstheme="minorBidi"/>
                <w:szCs w:val="21"/>
              </w:rPr>
            </w:pPr>
            <w:r>
              <w:rPr>
                <w:rFonts w:ascii="Times New Roman" w:hAnsi="Times New Roman" w:eastAsia="宋体" w:cstheme="minorBidi"/>
                <w:szCs w:val="21"/>
              </w:rPr>
              <w:t>具体数值</w:t>
            </w:r>
          </w:p>
        </w:tc>
        <w:tc>
          <w:tcPr>
            <w:tcW w:w="2784" w:type="dxa"/>
            <w:tcBorders>
              <w:top w:val="single" w:color="auto" w:sz="12" w:space="0"/>
              <w:bottom w:val="single" w:color="auto" w:sz="6" w:space="0"/>
              <w:right w:val="nil"/>
              <w:insideH w:val="single" w:sz="6" w:space="0"/>
              <w:insideV w:val="nil"/>
              <w:tl2br w:val="nil"/>
              <w:tr2bl w:val="nil"/>
            </w:tcBorders>
            <w:vAlign w:val="center"/>
          </w:tcPr>
          <w:p>
            <w:pPr>
              <w:wordWrap/>
              <w:spacing w:line="360" w:lineRule="auto"/>
              <w:jc w:val="center"/>
              <w:rPr>
                <w:rFonts w:ascii="Times New Roman" w:hAnsi="Times New Roman" w:eastAsia="宋体" w:cstheme="minorBidi"/>
                <w:szCs w:val="21"/>
              </w:rPr>
            </w:pPr>
            <w:r>
              <w:rPr>
                <w:rFonts w:ascii="Times New Roman" w:hAnsi="Times New Roman" w:eastAsia="宋体" w:cstheme="minorBidi"/>
                <w:szCs w:val="21"/>
              </w:rPr>
              <w:t>同比增速</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451" w:hRule="atLeast"/>
          <w:jc w:val="center"/>
        </w:trPr>
        <w:tc>
          <w:tcPr>
            <w:tcW w:w="3190"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数字经济总规模</w:t>
            </w:r>
          </w:p>
        </w:tc>
        <w:tc>
          <w:tcPr>
            <w:tcW w:w="2784"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1.12万亿元</w:t>
            </w:r>
          </w:p>
        </w:tc>
        <w:tc>
          <w:tcPr>
            <w:tcW w:w="2784"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10.2%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3190"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数字经济核心产业增加值</w:t>
            </w:r>
          </w:p>
        </w:tc>
        <w:tc>
          <w:tcPr>
            <w:tcW w:w="2784"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约1750亿元</w:t>
            </w:r>
          </w:p>
        </w:tc>
        <w:tc>
          <w:tcPr>
            <w:tcW w:w="2784"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12.5%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3190"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跨境电商进出口额</w:t>
            </w:r>
          </w:p>
        </w:tc>
        <w:tc>
          <w:tcPr>
            <w:tcW w:w="2784"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超600亿元</w:t>
            </w:r>
          </w:p>
        </w:tc>
        <w:tc>
          <w:tcPr>
            <w:tcW w:w="2784"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200%+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3190"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数字经济企业总数</w:t>
            </w:r>
          </w:p>
        </w:tc>
        <w:tc>
          <w:tcPr>
            <w:tcW w:w="2784"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1.93万家</w:t>
            </w:r>
          </w:p>
        </w:tc>
        <w:tc>
          <w:tcPr>
            <w:tcW w:w="2784"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12.9%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3190"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规上数字经济企业数</w:t>
            </w:r>
          </w:p>
        </w:tc>
        <w:tc>
          <w:tcPr>
            <w:tcW w:w="2784"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1403家</w:t>
            </w:r>
          </w:p>
        </w:tc>
        <w:tc>
          <w:tcPr>
            <w:tcW w:w="2784"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4.1%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3190"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5G基站数量</w:t>
            </w:r>
          </w:p>
        </w:tc>
        <w:tc>
          <w:tcPr>
            <w:tcW w:w="2784"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13.9万个</w:t>
            </w:r>
          </w:p>
        </w:tc>
        <w:tc>
          <w:tcPr>
            <w:tcW w:w="2784"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24.1%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3190"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物联网终端用户</w:t>
            </w:r>
          </w:p>
        </w:tc>
        <w:tc>
          <w:tcPr>
            <w:tcW w:w="2784"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2876.3万</w:t>
            </w:r>
          </w:p>
        </w:tc>
        <w:tc>
          <w:tcPr>
            <w:tcW w:w="2784"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18.7%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3190"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电信业务总量</w:t>
            </w:r>
          </w:p>
        </w:tc>
        <w:tc>
          <w:tcPr>
            <w:tcW w:w="2784"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520.7亿元</w:t>
            </w:r>
          </w:p>
        </w:tc>
        <w:tc>
          <w:tcPr>
            <w:tcW w:w="2784"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暂缺同口径数据</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jc w:val="center"/>
        </w:trPr>
        <w:tc>
          <w:tcPr>
            <w:tcW w:w="3190"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软件和信息技术服务业营收增速</w:t>
            </w:r>
          </w:p>
        </w:tc>
        <w:tc>
          <w:tcPr>
            <w:tcW w:w="2784"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暂缺同口径数据</w:t>
            </w:r>
          </w:p>
        </w:tc>
        <w:tc>
          <w:tcPr>
            <w:tcW w:w="2784"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15.8%</w:t>
            </w:r>
          </w:p>
        </w:tc>
      </w:tr>
    </w:tbl>
    <w:p>
      <w:pPr>
        <w:spacing w:line="360" w:lineRule="auto"/>
        <w:ind w:firstLine="420" w:firstLineChars="200"/>
        <w:rPr>
          <w:rFonts w:ascii="Times New Roman" w:hAnsi="Times New Roman"/>
          <w:szCs w:val="21"/>
        </w:rPr>
      </w:pPr>
      <w:r>
        <w:rPr>
          <w:rFonts w:ascii="Times New Roman" w:hAnsi="Times New Roman"/>
          <w:szCs w:val="21"/>
        </w:rPr>
        <w:t>资料来源：根据广西壮族自治区信息中心《广西数字经济发展评估报告（2025年）》、广西壮族自治区通信管理局《2024年广西信息通信业发展情况通报》及广西壮族自治区商务厅公开信息整理。</w:t>
      </w:r>
    </w:p>
    <w:p>
      <w:pPr>
        <w:spacing w:line="360" w:lineRule="auto"/>
        <w:ind w:firstLine="480"/>
        <w:rPr>
          <w:rFonts w:ascii="Times New Roman" w:hAnsi="Times New Roman"/>
          <w:sz w:val="24"/>
        </w:rPr>
      </w:pPr>
    </w:p>
    <w:p>
      <w:pPr>
        <w:spacing w:line="360" w:lineRule="auto"/>
        <w:ind w:firstLine="480"/>
        <w:rPr>
          <w:rFonts w:ascii="Times New Roman" w:hAnsi="Times New Roman"/>
          <w:sz w:val="24"/>
        </w:rPr>
      </w:pPr>
      <w:r>
        <w:rPr>
          <w:rFonts w:ascii="Times New Roman" w:hAnsi="Times New Roman"/>
          <w:sz w:val="24"/>
        </w:rPr>
        <w:t>如图2所示，与西部省份对比，2024年广西电信业务总量520.7亿元，高于云南（502.6亿元）、贵州（471.9亿元），软件和信息技术服务业营收增速15.8%，高于全国平均水平，在西部省份中位居前列。据此可知，广西电信业务总量在西部省份中处于较优位置，说明其数字基础设施和信息消费基础具备继续扩展的条件。</w:t>
      </w:r>
    </w:p>
    <w:p>
      <w:pPr>
        <w:spacing w:line="360" w:lineRule="auto"/>
        <w:jc w:val="center"/>
        <w:rPr>
          <w:rFonts w:ascii="Times New Roman" w:hAnsi="Times New Roman"/>
          <w:sz w:val="24"/>
        </w:rPr>
      </w:pPr>
      <w:r>
        <w:rPr>
          <w:rFonts w:ascii="Times New Roman" w:hAnsi="Times New Roman"/>
          <w:sz w:val="24"/>
        </w:rPr>
        <w:drawing>
          <wp:inline distT="0" distB="0" distL="114300" distR="114300">
            <wp:extent cx="4679950" cy="2392680"/>
            <wp:effectExtent l="0" t="0" r="6350" b="7620"/>
            <wp:docPr id="7" name="图片 7" descr="图2_西部省份指标对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2_西部省份指标对比"/>
                    <pic:cNvPicPr>
                      <a:picLocks noChangeAspect="1"/>
                    </pic:cNvPicPr>
                  </pic:nvPicPr>
                  <pic:blipFill>
                    <a:blip r:embed="rId19"/>
                    <a:stretch>
                      <a:fillRect/>
                    </a:stretch>
                  </pic:blipFill>
                  <pic:spPr>
                    <a:xfrm>
                      <a:off x="0" y="0"/>
                      <a:ext cx="4680000" cy="2393015"/>
                    </a:xfrm>
                    <a:prstGeom prst="rect">
                      <a:avLst/>
                    </a:prstGeom>
                  </pic:spPr>
                </pic:pic>
              </a:graphicData>
            </a:graphic>
          </wp:inline>
        </w:drawing>
      </w:r>
    </w:p>
    <w:p>
      <w:pPr>
        <w:spacing w:line="360" w:lineRule="auto"/>
        <w:jc w:val="center"/>
        <w:rPr>
          <w:rFonts w:ascii="Times New Roman" w:hAnsi="Times New Roman"/>
          <w:sz w:val="24"/>
        </w:rPr>
      </w:pPr>
      <w:r>
        <w:rPr>
          <w:rFonts w:ascii="Times New Roman" w:hAnsi="Times New Roman"/>
          <w:sz w:val="24"/>
        </w:rPr>
        <w:t>图2 2024年西部省份电信业务总量对比图</w:t>
      </w:r>
    </w:p>
    <w:p>
      <w:pPr>
        <w:spacing w:line="360" w:lineRule="auto"/>
        <w:jc w:val="center"/>
        <w:rPr>
          <w:rFonts w:ascii="Times New Roman" w:hAnsi="Times New Roman"/>
          <w:szCs w:val="21"/>
        </w:rPr>
      </w:pPr>
      <w:r>
        <w:rPr>
          <w:rFonts w:ascii="Times New Roman" w:hAnsi="Times New Roman"/>
          <w:szCs w:val="21"/>
        </w:rPr>
        <w:t>资料来源：各省通信业统计公报及公开统计资料整理。</w:t>
      </w:r>
    </w:p>
    <w:p>
      <w:pPr>
        <w:pStyle w:val="4"/>
        <w:spacing w:line="360" w:lineRule="auto"/>
        <w:ind w:firstLine="482"/>
        <w:rPr>
          <w:rFonts w:cs="Times New Roman"/>
          <w:sz w:val="24"/>
          <w:szCs w:val="24"/>
        </w:rPr>
      </w:pPr>
      <w:bookmarkStart w:id="70" w:name="_Toc26257"/>
      <w:bookmarkStart w:id="71" w:name="_Toc9056"/>
      <w:bookmarkStart w:id="72" w:name="_Toc230546453"/>
      <w:bookmarkStart w:id="73" w:name="_Toc230619165"/>
      <w:r>
        <w:rPr>
          <w:rFonts w:cs="Times New Roman"/>
          <w:sz w:val="24"/>
          <w:szCs w:val="24"/>
        </w:rPr>
        <w:t>4.3 细分领域增长亮点</w:t>
      </w:r>
      <w:bookmarkEnd w:id="70"/>
      <w:bookmarkEnd w:id="71"/>
      <w:bookmarkEnd w:id="72"/>
      <w:bookmarkEnd w:id="73"/>
    </w:p>
    <w:p>
      <w:pPr>
        <w:spacing w:line="360" w:lineRule="auto"/>
        <w:ind w:firstLine="480" w:firstLineChars="200"/>
        <w:rPr>
          <w:rFonts w:ascii="Times New Roman" w:hAnsi="Times New Roman"/>
          <w:sz w:val="24"/>
        </w:rPr>
      </w:pPr>
      <w:r>
        <w:rPr>
          <w:rFonts w:ascii="Times New Roman" w:hAnsi="Times New Roman"/>
          <w:sz w:val="24"/>
        </w:rPr>
        <w:t>从广西区域实践看，数字经济增长并非均匀发生在所有行业，而是集中体现为数字贸易、数字金融、农业数字化和文旅数字化等特色场景的快速扩张。数字贸易方面，跨境电商成为广西面向东盟合作的最活跃业态之一，Lazada、Shopee、TikTok Shop、Temu、SHEIN等平台带动本地企业形成选品、运营、支付、物流和售后服务一体化需求，对跨境平台运营、数据选品、数字营销和东盟市场分析人才提出直接需求。数字金融方面，跨境支付、供应链金融、区块链贸易融资和跨境征信服务持续拓展，要求人才既理解金融监管和风险控制，也具备数据分析与合规意识。</w:t>
      </w:r>
    </w:p>
    <w:p>
      <w:pPr>
        <w:spacing w:line="360" w:lineRule="auto"/>
        <w:ind w:firstLine="480" w:firstLineChars="200"/>
        <w:rPr>
          <w:rFonts w:ascii="Times New Roman" w:hAnsi="Times New Roman"/>
          <w:sz w:val="24"/>
        </w:rPr>
      </w:pPr>
      <w:r>
        <w:rPr>
          <w:rFonts w:ascii="Times New Roman" w:hAnsi="Times New Roman"/>
          <w:sz w:val="24"/>
        </w:rPr>
        <w:t>农业数字化和文旅数字化则体现了广西产业数字化的地方特色。前者主要表现为数字农业基地、农产品溯源、智慧种养和农村电商的发展，后者主要表现为智慧景区、数字文旅平台、在线营销和客流数据分析。这些领域共同说明，数字经济专业不能仅培养通用互联网岗位人才，而应面向广西产业结构和东盟合作场景，强化经济分析、数据工具、平台运营、跨文化沟通和应用场景理解的综合训练。</w:t>
      </w:r>
    </w:p>
    <w:p>
      <w:pPr>
        <w:pStyle w:val="4"/>
        <w:spacing w:line="360" w:lineRule="auto"/>
        <w:ind w:firstLine="482"/>
        <w:rPr>
          <w:rFonts w:cs="Times New Roman"/>
          <w:sz w:val="24"/>
          <w:szCs w:val="24"/>
        </w:rPr>
      </w:pPr>
      <w:bookmarkStart w:id="74" w:name="_Toc230619166"/>
      <w:bookmarkStart w:id="75" w:name="_Toc230546454"/>
      <w:bookmarkStart w:id="76" w:name="_Toc28921"/>
      <w:bookmarkStart w:id="77" w:name="_Toc9035"/>
      <w:r>
        <w:rPr>
          <w:rFonts w:cs="Times New Roman"/>
          <w:sz w:val="24"/>
          <w:szCs w:val="24"/>
        </w:rPr>
        <w:t>4.4 政策支持与法规环境</w:t>
      </w:r>
      <w:bookmarkEnd w:id="74"/>
      <w:bookmarkEnd w:id="75"/>
      <w:bookmarkEnd w:id="76"/>
      <w:bookmarkEnd w:id="77"/>
    </w:p>
    <w:p>
      <w:pPr>
        <w:spacing w:line="360" w:lineRule="auto"/>
        <w:ind w:firstLine="480" w:firstLineChars="200"/>
        <w:rPr>
          <w:rFonts w:ascii="Times New Roman" w:hAnsi="Times New Roman"/>
          <w:sz w:val="24"/>
        </w:rPr>
      </w:pPr>
      <w:r>
        <w:rPr>
          <w:rFonts w:ascii="Times New Roman" w:hAnsi="Times New Roman"/>
          <w:sz w:val="24"/>
        </w:rPr>
        <w:t>国家层面已构建系统性的数字经济战略与制度框架：《数字中国建设整体布局规划》（2023）提出2522整体框架；数据二十条为数据要素市场化配置提供制度基础；</w:t>
      </w:r>
      <w:r>
        <w:rPr>
          <w:rFonts w:hint="eastAsia" w:ascii="Times New Roman" w:hAnsi="Times New Roman"/>
          <w:sz w:val="24"/>
        </w:rPr>
        <w:t xml:space="preserve"> “数据要素×”三年行动计划</w:t>
      </w:r>
      <w:r>
        <w:rPr>
          <w:rFonts w:ascii="Times New Roman" w:hAnsi="Times New Roman"/>
          <w:sz w:val="24"/>
        </w:rPr>
        <w:t>推动数据要素在各领域的应用；《加快数字人才培育支撑数字经济发展行动方案（2024</w:t>
      </w:r>
      <w:r>
        <w:rPr>
          <w:rFonts w:hint="eastAsia" w:ascii="Times New Roman" w:hAnsi="Times New Roman"/>
          <w:sz w:val="24"/>
        </w:rPr>
        <w:t>—</w:t>
      </w:r>
      <w:r>
        <w:rPr>
          <w:rFonts w:ascii="Times New Roman" w:hAnsi="Times New Roman"/>
          <w:sz w:val="24"/>
        </w:rPr>
        <w:t>2026年）》（人社部发〔2024〕37号）明确加强高校学科专业建设；《关于加强数据要素学科专业建设和数字人才队伍建设的意见》（发改数据〔2025〕1425号）支持建设数字经济与管理学科专业</w:t>
      </w:r>
      <w:r>
        <w:rPr>
          <w:rFonts w:ascii="Times New Roman" w:hAnsi="Times New Roman"/>
          <w:sz w:val="24"/>
          <w:vertAlign w:val="superscript"/>
        </w:rPr>
        <w:footnoteReference w:id="15"/>
      </w:r>
      <w:r>
        <w:rPr>
          <w:rFonts w:ascii="Times New Roman" w:hAnsi="Times New Roman"/>
          <w:sz w:val="24"/>
        </w:rPr>
        <w:t>。</w:t>
      </w:r>
    </w:p>
    <w:p>
      <w:pPr>
        <w:spacing w:line="360" w:lineRule="auto"/>
        <w:ind w:firstLine="480" w:firstLineChars="200"/>
        <w:rPr>
          <w:rFonts w:ascii="Times New Roman" w:hAnsi="Times New Roman"/>
          <w:sz w:val="24"/>
        </w:rPr>
      </w:pPr>
      <w:r>
        <w:rPr>
          <w:rFonts w:ascii="Times New Roman" w:hAnsi="Times New Roman"/>
          <w:sz w:val="24"/>
        </w:rPr>
        <w:t>广西地方政策进一步聚焦区域特色：《广西数字经济发展规划（2021</w:t>
      </w:r>
      <w:r>
        <w:rPr>
          <w:rFonts w:hint="eastAsia" w:ascii="Times New Roman" w:hAnsi="Times New Roman"/>
          <w:sz w:val="24"/>
        </w:rPr>
        <w:t>—</w:t>
      </w:r>
      <w:r>
        <w:rPr>
          <w:rFonts w:ascii="Times New Roman" w:hAnsi="Times New Roman"/>
          <w:sz w:val="24"/>
        </w:rPr>
        <w:t>2025年）》明确区域发展目标；《广西促进数字经济发展三年行动方案（2024</w:t>
      </w:r>
      <w:r>
        <w:rPr>
          <w:rFonts w:hint="eastAsia" w:ascii="Times New Roman" w:hAnsi="Times New Roman"/>
          <w:sz w:val="24"/>
        </w:rPr>
        <w:t>—</w:t>
      </w:r>
      <w:r>
        <w:rPr>
          <w:rFonts w:ascii="Times New Roman" w:hAnsi="Times New Roman"/>
          <w:sz w:val="24"/>
        </w:rPr>
        <w:t>2026年）》设定量化指标；《广西壮族自治区加快数字人才培育支撑数字经济发展实施方案（2025</w:t>
      </w:r>
      <w:r>
        <w:rPr>
          <w:rFonts w:hint="eastAsia" w:ascii="Times New Roman" w:hAnsi="Times New Roman"/>
          <w:sz w:val="24"/>
        </w:rPr>
        <w:t>—</w:t>
      </w:r>
      <w:r>
        <w:rPr>
          <w:rFonts w:ascii="Times New Roman" w:hAnsi="Times New Roman"/>
          <w:sz w:val="24"/>
        </w:rPr>
        <w:t>2027年）》提出支持高校开设人工智能、数据科学、金融科技等新兴专业，鼓励数字经济骨干企业与高校共建数字产业学院。</w:t>
      </w:r>
    </w:p>
    <w:p>
      <w:pPr>
        <w:pStyle w:val="4"/>
        <w:spacing w:line="360" w:lineRule="auto"/>
        <w:ind w:firstLine="482"/>
        <w:rPr>
          <w:rFonts w:cs="Times New Roman"/>
          <w:sz w:val="24"/>
          <w:szCs w:val="24"/>
        </w:rPr>
      </w:pPr>
      <w:bookmarkStart w:id="78" w:name="_Toc154"/>
      <w:bookmarkStart w:id="79" w:name="_Toc230619167"/>
      <w:bookmarkStart w:id="80" w:name="_Toc26165"/>
      <w:bookmarkStart w:id="81" w:name="_Toc230546455"/>
      <w:r>
        <w:rPr>
          <w:rFonts w:cs="Times New Roman"/>
          <w:sz w:val="24"/>
          <w:szCs w:val="24"/>
        </w:rPr>
        <w:t>4.5 技术应用现状</w:t>
      </w:r>
      <w:bookmarkEnd w:id="78"/>
      <w:bookmarkEnd w:id="79"/>
      <w:bookmarkEnd w:id="80"/>
      <w:bookmarkEnd w:id="81"/>
    </w:p>
    <w:p>
      <w:pPr>
        <w:spacing w:line="360" w:lineRule="auto"/>
        <w:ind w:firstLine="480" w:firstLineChars="200"/>
        <w:rPr>
          <w:rFonts w:ascii="Times New Roman" w:hAnsi="Times New Roman"/>
          <w:sz w:val="24"/>
        </w:rPr>
      </w:pPr>
      <w:r>
        <w:rPr>
          <w:rFonts w:ascii="Times New Roman" w:hAnsi="Times New Roman"/>
          <w:sz w:val="24"/>
        </w:rPr>
        <w:t>大数据、人工智能、区块链、物联网和数字孪生正在从技术概念转化为经济管理、产业运行和公共治理中的具体工具。大数据主要用于宏观经济监测、企业经营分析、用户画像、供应链管理和公共政策评估；人工智能正在进入智能客服、跨境内容生成、智能投研、风险识别、AIGC营销和多语言数据处理等环节；区块链在跨境贸易结算、供应链金融、农产品溯源和可信数据流通中具备应用价值；物联网和数字孪生则主要服务于智慧物流、智能制造、智慧农业和智慧城市。</w:t>
      </w:r>
    </w:p>
    <w:p>
      <w:pPr>
        <w:spacing w:line="360" w:lineRule="auto"/>
        <w:ind w:firstLine="480"/>
        <w:rPr>
          <w:rFonts w:ascii="Times New Roman" w:hAnsi="Times New Roman"/>
          <w:sz w:val="24"/>
        </w:rPr>
      </w:pPr>
      <w:r>
        <w:rPr>
          <w:rFonts w:ascii="Times New Roman" w:hAnsi="Times New Roman"/>
          <w:sz w:val="24"/>
        </w:rPr>
        <w:t>对数字经济本科专业而言，技术应用教学的重点不应是替代计算机类专业培养算法工程师，而是帮助经济学学生形成数据意识、工具能力和业务解释能力。课程体系宜把Python、SQL、数据可视化、计量经济学、机器学习基础、数字平台运营、数据治理与安全、RCEP数字贸易规则等内容嵌入具体经济场景，通过企业数据分析、跨境电商平台实训、金融风控模拟和政务数据分析项目提升学生的场景化应用能力。如图3所示，数字技术并非孤立存在，而是通过贸易、金融、产业、治理等场景嵌入经济运行过程，形成对经济学人才能力结构的新要求。</w:t>
      </w:r>
    </w:p>
    <w:p>
      <w:pPr>
        <w:spacing w:line="360" w:lineRule="auto"/>
        <w:jc w:val="center"/>
        <w:rPr>
          <w:rFonts w:ascii="Times New Roman" w:hAnsi="Times New Roman"/>
          <w:sz w:val="24"/>
        </w:rPr>
      </w:pPr>
      <w:r>
        <w:rPr>
          <w:rFonts w:ascii="Times New Roman" w:hAnsi="Times New Roman"/>
          <w:sz w:val="24"/>
        </w:rPr>
        <w:drawing>
          <wp:inline distT="0" distB="0" distL="114300" distR="114300">
            <wp:extent cx="4679950" cy="2545080"/>
            <wp:effectExtent l="0" t="0" r="6350" b="7620"/>
            <wp:docPr id="806573014" name="图片 806573014" descr="图3_技术应用路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573014" name="图片 806573014" descr="图3_技术应用路径"/>
                    <pic:cNvPicPr>
                      <a:picLocks noChangeAspect="1"/>
                    </pic:cNvPicPr>
                  </pic:nvPicPr>
                  <pic:blipFill>
                    <a:blip r:embed="rId20"/>
                    <a:stretch>
                      <a:fillRect/>
                    </a:stretch>
                  </pic:blipFill>
                  <pic:spPr>
                    <a:xfrm>
                      <a:off x="0" y="0"/>
                      <a:ext cx="4680000" cy="2545352"/>
                    </a:xfrm>
                    <a:prstGeom prst="rect">
                      <a:avLst/>
                    </a:prstGeom>
                  </pic:spPr>
                </pic:pic>
              </a:graphicData>
            </a:graphic>
          </wp:inline>
        </w:drawing>
      </w:r>
    </w:p>
    <w:p>
      <w:pPr>
        <w:spacing w:line="360" w:lineRule="auto"/>
        <w:jc w:val="center"/>
        <w:rPr>
          <w:rFonts w:ascii="Times New Roman" w:hAnsi="Times New Roman"/>
          <w:sz w:val="24"/>
        </w:rPr>
      </w:pPr>
      <w:r>
        <w:rPr>
          <w:rFonts w:ascii="Times New Roman" w:hAnsi="Times New Roman"/>
          <w:sz w:val="24"/>
        </w:rPr>
        <w:t>图3   数字技术在经济领域的应用路径图</w:t>
      </w:r>
    </w:p>
    <w:p>
      <w:pPr>
        <w:spacing w:line="360" w:lineRule="auto"/>
        <w:jc w:val="center"/>
        <w:rPr>
          <w:rFonts w:ascii="Times New Roman" w:hAnsi="Times New Roman"/>
          <w:sz w:val="24"/>
        </w:rPr>
      </w:pPr>
    </w:p>
    <w:p>
      <w:pPr>
        <w:pStyle w:val="3"/>
        <w:spacing w:before="120" w:beforeLines="50" w:after="120" w:afterLines="50"/>
        <w:jc w:val="center"/>
        <w:rPr>
          <w:rFonts w:ascii="Times New Roman" w:hAnsi="Times New Roman" w:cs="Times New Roman"/>
          <w:sz w:val="24"/>
          <w:szCs w:val="24"/>
        </w:rPr>
      </w:pPr>
      <w:bookmarkStart w:id="82" w:name="_Toc9561"/>
      <w:bookmarkStart w:id="83" w:name="_Toc230546456"/>
      <w:bookmarkStart w:id="84" w:name="_Toc6753"/>
      <w:bookmarkStart w:id="85" w:name="_Toc230619168"/>
      <w:r>
        <w:rPr>
          <w:rFonts w:ascii="Times New Roman" w:hAnsi="Times New Roman" w:cs="Times New Roman"/>
          <w:sz w:val="24"/>
          <w:szCs w:val="24"/>
        </w:rPr>
        <w:t>五、数字经济人才现状</w:t>
      </w:r>
      <w:bookmarkEnd w:id="82"/>
      <w:bookmarkEnd w:id="83"/>
      <w:bookmarkEnd w:id="84"/>
      <w:bookmarkEnd w:id="85"/>
    </w:p>
    <w:p>
      <w:pPr>
        <w:pStyle w:val="4"/>
        <w:spacing w:line="360" w:lineRule="auto"/>
        <w:ind w:firstLine="482"/>
        <w:rPr>
          <w:rFonts w:cs="Times New Roman"/>
          <w:sz w:val="24"/>
          <w:szCs w:val="24"/>
        </w:rPr>
      </w:pPr>
      <w:bookmarkStart w:id="86" w:name="_Toc30798"/>
      <w:bookmarkStart w:id="87" w:name="_Toc23466"/>
      <w:bookmarkStart w:id="88" w:name="_Toc230546457"/>
      <w:bookmarkStart w:id="89" w:name="_Toc230619169"/>
      <w:r>
        <w:rPr>
          <w:rFonts w:cs="Times New Roman"/>
          <w:sz w:val="24"/>
          <w:szCs w:val="24"/>
        </w:rPr>
        <w:t>5.1 全国层面：人才缺口巨大且结构性矛盾突出</w:t>
      </w:r>
      <w:bookmarkEnd w:id="86"/>
      <w:bookmarkEnd w:id="87"/>
      <w:bookmarkEnd w:id="88"/>
      <w:bookmarkEnd w:id="89"/>
    </w:p>
    <w:p>
      <w:pPr>
        <w:spacing w:line="360" w:lineRule="auto"/>
        <w:ind w:firstLine="480" w:firstLineChars="200"/>
        <w:rPr>
          <w:rFonts w:ascii="Times New Roman" w:hAnsi="Times New Roman"/>
          <w:sz w:val="24"/>
        </w:rPr>
      </w:pPr>
      <w:r>
        <w:rPr>
          <w:rFonts w:ascii="Times New Roman" w:hAnsi="Times New Roman"/>
          <w:sz w:val="24"/>
        </w:rPr>
        <w:t>《中国数字经济人才发展报告（2025）》测算，截至2024年底，我国数字经济人才缺口已超过3200万人。具体而言，当年数字经济人才需求规模高达约6500万人，而现有人才总量仅为3286万人，供需</w:t>
      </w:r>
      <w:r>
        <w:rPr>
          <w:rFonts w:hint="eastAsia" w:ascii="Times New Roman" w:hAnsi="Times New Roman"/>
          <w:sz w:val="24"/>
        </w:rPr>
        <w:t>悬殊</w:t>
      </w:r>
      <w:r>
        <w:rPr>
          <w:rFonts w:ascii="Times New Roman" w:hAnsi="Times New Roman"/>
          <w:sz w:val="24"/>
        </w:rPr>
        <w:t>。其中兼具经济学素养和数字技术能力的复合型人才缺口尤为突出，占比超40%</w:t>
      </w:r>
      <w:r>
        <w:rPr>
          <w:rFonts w:ascii="Times New Roman" w:hAnsi="Times New Roman"/>
          <w:sz w:val="24"/>
          <w:vertAlign w:val="superscript"/>
        </w:rPr>
        <w:footnoteReference w:id="16"/>
      </w:r>
      <w:r>
        <w:rPr>
          <w:rFonts w:ascii="Times New Roman" w:hAnsi="Times New Roman"/>
          <w:sz w:val="24"/>
        </w:rPr>
        <w:t>。</w:t>
      </w:r>
    </w:p>
    <w:p>
      <w:pPr>
        <w:spacing w:line="360" w:lineRule="auto"/>
        <w:ind w:firstLine="480" w:firstLineChars="200"/>
        <w:rPr>
          <w:rFonts w:ascii="Times New Roman" w:hAnsi="Times New Roman"/>
          <w:sz w:val="24"/>
        </w:rPr>
      </w:pPr>
      <w:r>
        <w:rPr>
          <w:rFonts w:ascii="Times New Roman" w:hAnsi="Times New Roman"/>
          <w:sz w:val="24"/>
        </w:rPr>
        <w:t>中国信通院相关研究指出，研发型人才是当前最紧缺的类别。在京津冀、长三角、粤港澳大湾区、成渝和长江中游五大主要城市群中，对研发型人才的需求占比均超过65%，其中粤港澳大湾区高达约73.87%。单纯的数字技术人才已无法满足产业数字化转型的深层次需求，企业迫切需要既精通数字技术、又深刻理解行业业务逻辑的复合型人才</w:t>
      </w:r>
      <w:r>
        <w:rPr>
          <w:rFonts w:ascii="Times New Roman" w:hAnsi="Times New Roman"/>
          <w:sz w:val="24"/>
          <w:vertAlign w:val="superscript"/>
        </w:rPr>
        <w:footnoteReference w:id="17"/>
      </w:r>
      <w:r>
        <w:rPr>
          <w:rFonts w:ascii="Times New Roman" w:hAnsi="Times New Roman"/>
          <w:sz w:val="24"/>
        </w:rPr>
        <w:t>。</w:t>
      </w:r>
    </w:p>
    <w:p>
      <w:pPr>
        <w:spacing w:line="360" w:lineRule="auto"/>
        <w:ind w:firstLine="480" w:firstLineChars="200"/>
        <w:rPr>
          <w:rFonts w:ascii="Times New Roman" w:hAnsi="Times New Roman"/>
          <w:sz w:val="24"/>
        </w:rPr>
      </w:pPr>
      <w:r>
        <w:rPr>
          <w:rFonts w:ascii="Times New Roman" w:hAnsi="Times New Roman"/>
          <w:sz w:val="24"/>
        </w:rPr>
        <w:t>高校毕业生进入数字经济领域的比例逐年提升。东北师范大学与阿里巴巴研究院的联合调查显示，2020-2022届高校毕业生中，有11.68%在数字经济相关行业就业创业，且呈逐年上升趋势。2023届毕业生有意愿在数字经济相关行业就业创业的比例达20.84%，选择该领域的主要原因包括发展前景好（55.98%）、专业适配度高（42.00%）和薪资待遇好（36.17%）。预计到2030年，数字经济带动就业人数将达到4.49亿人，为高校毕业生提供共计2834.98万个就业岗位</w:t>
      </w:r>
      <w:r>
        <w:rPr>
          <w:rFonts w:ascii="Times New Roman" w:hAnsi="Times New Roman"/>
          <w:sz w:val="24"/>
          <w:vertAlign w:val="superscript"/>
        </w:rPr>
        <w:footnoteReference w:id="18"/>
      </w:r>
      <w:r>
        <w:rPr>
          <w:rFonts w:ascii="Times New Roman" w:hAnsi="Times New Roman"/>
          <w:sz w:val="24"/>
        </w:rPr>
        <w:t>。</w:t>
      </w:r>
    </w:p>
    <w:p>
      <w:pPr>
        <w:pStyle w:val="4"/>
        <w:spacing w:line="360" w:lineRule="auto"/>
        <w:ind w:firstLine="482"/>
        <w:rPr>
          <w:rFonts w:cs="Times New Roman"/>
          <w:sz w:val="24"/>
          <w:szCs w:val="24"/>
        </w:rPr>
      </w:pPr>
      <w:bookmarkStart w:id="90" w:name="_Toc230546458"/>
      <w:bookmarkStart w:id="91" w:name="_Toc23462"/>
      <w:bookmarkStart w:id="92" w:name="_Toc11456"/>
      <w:bookmarkStart w:id="93" w:name="_Toc230619170"/>
      <w:r>
        <w:rPr>
          <w:rFonts w:cs="Times New Roman"/>
          <w:sz w:val="24"/>
          <w:szCs w:val="24"/>
        </w:rPr>
        <w:t>5.2 广西区域：人才短板更为突出</w:t>
      </w:r>
      <w:bookmarkEnd w:id="90"/>
      <w:bookmarkEnd w:id="91"/>
      <w:bookmarkEnd w:id="92"/>
      <w:bookmarkEnd w:id="93"/>
    </w:p>
    <w:p>
      <w:pPr>
        <w:spacing w:line="360" w:lineRule="auto"/>
        <w:ind w:firstLine="480" w:firstLineChars="200"/>
        <w:rPr>
          <w:rFonts w:ascii="Times New Roman" w:hAnsi="Times New Roman"/>
          <w:sz w:val="24"/>
        </w:rPr>
      </w:pPr>
      <w:r>
        <w:rPr>
          <w:rFonts w:ascii="Times New Roman" w:hAnsi="Times New Roman"/>
          <w:sz w:val="24"/>
        </w:rPr>
        <w:t>广西数字经济人才面临严重的结构性短缺，这一矛盾在多个维度上均有体现：</w:t>
      </w:r>
    </w:p>
    <w:p>
      <w:pPr>
        <w:spacing w:line="360" w:lineRule="auto"/>
        <w:ind w:firstLine="480" w:firstLineChars="200"/>
        <w:rPr>
          <w:rFonts w:ascii="Times New Roman" w:hAnsi="Times New Roman"/>
          <w:sz w:val="24"/>
        </w:rPr>
      </w:pPr>
      <w:r>
        <w:rPr>
          <w:rFonts w:ascii="Times New Roman" w:hAnsi="Times New Roman"/>
          <w:sz w:val="24"/>
        </w:rPr>
        <w:t>从总量供需看，广西人才网数据显示，2024年IT/技术类职位需求人数为4666人，求职人数为39509人，人才供求比为8.47，明显高于2022年的2.93和2023年的6.13。这一变化说明，普通IT岗位已经出现较强竞争，市场真正紧缺的是能够把技术工具、行业场景和经营决策结合起来的复合型人才。数字经济专业的建设重点，因此不宜简单理解为增加一般技术人才供给，而应放在数据分析、数字贸易、平台运营、数据治理和跨境合规等交叉能力上</w:t>
      </w:r>
      <w:r>
        <w:rPr>
          <w:rFonts w:ascii="Times New Roman" w:hAnsi="Times New Roman"/>
          <w:sz w:val="24"/>
          <w:vertAlign w:val="superscript"/>
        </w:rPr>
        <w:footnoteReference w:id="19"/>
      </w:r>
      <w:r>
        <w:rPr>
          <w:rFonts w:ascii="Times New Roman" w:hAnsi="Times New Roman"/>
          <w:sz w:val="24"/>
        </w:rPr>
        <w:t>。</w:t>
      </w:r>
    </w:p>
    <w:p>
      <w:pPr>
        <w:spacing w:line="360" w:lineRule="auto"/>
        <w:ind w:firstLine="480" w:firstLineChars="200"/>
        <w:rPr>
          <w:rFonts w:ascii="Times New Roman" w:hAnsi="Times New Roman"/>
          <w:sz w:val="24"/>
        </w:rPr>
      </w:pPr>
      <w:r>
        <w:rPr>
          <w:rFonts w:ascii="Times New Roman" w:hAnsi="Times New Roman"/>
          <w:sz w:val="24"/>
        </w:rPr>
        <w:t>从薪酬竞争力看，2024年广西数字经济企业招聘平均薪酬为8700元，低于同期全国平均水平的1.03万元，薪资差距达16%左右。薪酬竞争力不足直接影响了区外高端人才的引入和本地人才的留存。崇左市人民政府的调研报告指出，就业市场呈现明显的冰火两重天现象：建材、制糖等传统行业岗位收缩，新能源、数字经济等领域人才需求激增，供需匹配度不足，反映出高校毕业生专业技能与市场需求错配的深层问题</w:t>
      </w:r>
      <w:r>
        <w:rPr>
          <w:rFonts w:ascii="Times New Roman" w:hAnsi="Times New Roman"/>
          <w:sz w:val="24"/>
          <w:vertAlign w:val="superscript"/>
        </w:rPr>
        <w:footnoteReference w:id="20"/>
      </w:r>
      <w:r>
        <w:rPr>
          <w:rFonts w:ascii="Times New Roman" w:hAnsi="Times New Roman"/>
          <w:sz w:val="24"/>
        </w:rPr>
        <w:t>。</w:t>
      </w:r>
    </w:p>
    <w:p>
      <w:pPr>
        <w:spacing w:line="360" w:lineRule="auto"/>
        <w:ind w:firstLine="480" w:firstLineChars="200"/>
        <w:rPr>
          <w:rFonts w:ascii="Times New Roman" w:hAnsi="Times New Roman"/>
          <w:sz w:val="24"/>
        </w:rPr>
      </w:pPr>
      <w:r>
        <w:rPr>
          <w:rFonts w:ascii="Times New Roman" w:hAnsi="Times New Roman"/>
          <w:sz w:val="24"/>
        </w:rPr>
        <w:t>从人才结构看，广西数字经济人才缺口并非简单的数量不足，而是典型的结构性短缺。高端领域（人工智能、大数据、云计算）人才受产业发展水平和薪酬吸引力限制，难以吸引和留住高素质人才。制造业数字化转型催生的数字工匠（既懂制造又懂数字技术的复合型人才）极度紧缺，柳工机械等企业反映，智能化生产线建成后因缺乏能熟练操作设备的工人，出现有人难用的局面。2024年第三季度，技工类职位需求同比增长103.90%，其中涉及自动化、智能化操作的岗位缺口尤为突出</w:t>
      </w:r>
      <w:r>
        <w:rPr>
          <w:rFonts w:ascii="Times New Roman" w:hAnsi="Times New Roman"/>
          <w:sz w:val="24"/>
          <w:vertAlign w:val="superscript"/>
        </w:rPr>
        <w:footnoteReference w:id="21"/>
      </w:r>
      <w:r>
        <w:rPr>
          <w:rFonts w:ascii="Times New Roman" w:hAnsi="Times New Roman"/>
          <w:sz w:val="24"/>
        </w:rPr>
        <w:t>。</w:t>
      </w:r>
    </w:p>
    <w:p>
      <w:pPr>
        <w:spacing w:line="360" w:lineRule="auto"/>
        <w:ind w:firstLine="480" w:firstLineChars="200"/>
        <w:rPr>
          <w:rFonts w:ascii="Times New Roman" w:hAnsi="Times New Roman"/>
          <w:sz w:val="24"/>
        </w:rPr>
      </w:pPr>
      <w:r>
        <w:rPr>
          <w:rFonts w:ascii="Times New Roman" w:hAnsi="Times New Roman"/>
          <w:sz w:val="24"/>
        </w:rPr>
        <w:t>从产业基础看，广西数字经济占GDP比重远低于全国平均水平，且缺乏营收超百亿元的大型数字经济龙头企业，中小企业居多，导致对高端数字人才的承载能力和支付能力有限。广西在数据要素市场化推进力指数中排名靠后（第20名之后），基础环境和保障支撑相对薄弱，间接影响了对数据分析师、数据治理专家等专业人才的需求释放和留存</w:t>
      </w:r>
      <w:r>
        <w:rPr>
          <w:rFonts w:ascii="Times New Roman" w:hAnsi="Times New Roman"/>
          <w:sz w:val="24"/>
          <w:vertAlign w:val="superscript"/>
        </w:rPr>
        <w:footnoteReference w:id="22"/>
      </w:r>
      <w:r>
        <w:rPr>
          <w:rFonts w:ascii="Times New Roman" w:hAnsi="Times New Roman"/>
          <w:sz w:val="24"/>
        </w:rPr>
        <w:t>。</w:t>
      </w:r>
    </w:p>
    <w:p>
      <w:pPr>
        <w:spacing w:line="360" w:lineRule="auto"/>
        <w:ind w:firstLine="480" w:firstLineChars="200"/>
        <w:rPr>
          <w:rFonts w:ascii="Times New Roman" w:hAnsi="Times New Roman"/>
          <w:sz w:val="24"/>
        </w:rPr>
      </w:pPr>
      <w:r>
        <w:rPr>
          <w:rFonts w:ascii="Times New Roman" w:hAnsi="Times New Roman"/>
          <w:sz w:val="24"/>
        </w:rPr>
        <w:t>从人才外流看，2024届广西高校毕业生中，48%选择区外就业，主要流向粤港澳大湾区。值得注意的是，面向东盟的复合型人才由于技能的区域专属性，在广西本地就业的意愿和比例明显高于通用型数字人才，这为我校差异化培养提供了重要启示</w:t>
      </w:r>
      <w:r>
        <w:rPr>
          <w:rFonts w:ascii="Times New Roman" w:hAnsi="Times New Roman"/>
          <w:sz w:val="24"/>
          <w:vertAlign w:val="superscript"/>
        </w:rPr>
        <w:footnoteReference w:id="23"/>
      </w:r>
      <w:r>
        <w:rPr>
          <w:rFonts w:ascii="Times New Roman" w:hAnsi="Times New Roman"/>
          <w:sz w:val="24"/>
        </w:rPr>
        <w:t>。</w:t>
      </w:r>
    </w:p>
    <w:p>
      <w:pPr>
        <w:pStyle w:val="4"/>
        <w:spacing w:line="360" w:lineRule="auto"/>
        <w:ind w:firstLine="482"/>
        <w:rPr>
          <w:rFonts w:cs="Times New Roman"/>
          <w:sz w:val="24"/>
          <w:szCs w:val="24"/>
        </w:rPr>
      </w:pPr>
      <w:bookmarkStart w:id="94" w:name="_Toc30799"/>
      <w:bookmarkStart w:id="95" w:name="_Toc13554"/>
      <w:bookmarkStart w:id="96" w:name="_Toc230546459"/>
      <w:bookmarkStart w:id="97" w:name="_Toc230619171"/>
      <w:r>
        <w:rPr>
          <w:rFonts w:cs="Times New Roman"/>
          <w:sz w:val="24"/>
          <w:szCs w:val="24"/>
        </w:rPr>
        <w:t>5.3 师范院校经济学毕业生的竞争力分析</w:t>
      </w:r>
      <w:bookmarkEnd w:id="94"/>
      <w:bookmarkEnd w:id="95"/>
      <w:bookmarkEnd w:id="96"/>
      <w:bookmarkEnd w:id="97"/>
    </w:p>
    <w:p>
      <w:pPr>
        <w:spacing w:line="360" w:lineRule="auto"/>
        <w:ind w:firstLine="480" w:firstLineChars="200"/>
        <w:rPr>
          <w:rFonts w:ascii="Times New Roman" w:hAnsi="Times New Roman"/>
          <w:sz w:val="24"/>
        </w:rPr>
      </w:pPr>
      <w:r>
        <w:rPr>
          <w:rFonts w:ascii="Times New Roman" w:hAnsi="Times New Roman"/>
          <w:sz w:val="24"/>
        </w:rPr>
        <w:t>传统师范院校经济学毕业生在数字经济岗位中面临理论功底扎实、但数据分析和编程能力不足的困境。课程体系偏理论、实践教学与产业脱节、数字技术类课程占比低，导致毕业生在数字经济岗位中的适配度不足。</w:t>
      </w:r>
    </w:p>
    <w:p>
      <w:pPr>
        <w:spacing w:line="360" w:lineRule="auto"/>
        <w:ind w:firstLine="480" w:firstLineChars="200"/>
        <w:rPr>
          <w:rFonts w:ascii="Times New Roman" w:hAnsi="Times New Roman"/>
          <w:sz w:val="24"/>
        </w:rPr>
      </w:pPr>
      <w:r>
        <w:rPr>
          <w:rFonts w:ascii="Times New Roman" w:hAnsi="Times New Roman"/>
          <w:sz w:val="24"/>
        </w:rPr>
        <w:t>师范院校同时拥有独特的差异化优势：一是经济学理论功底扎实，表达能力与教育技术素养突出；二是可将数字素养教育融入人才培养，开辟双通道就业路径（既可进入数字经济产业，也可从事中小学数字素养教育）；三是人文底蕴深厚，数字经济岗位越来越强调的沟通表达、商业伦理、跨文化理解等软实力恰好是师范教育的传统优势。如表5所示，师范院校经济学毕业生既存在数字工具能力不足的短板，也具备理论表达、人文素养和教育技术融合方面的差异化优势。</w:t>
      </w:r>
    </w:p>
    <w:p>
      <w:pPr>
        <w:spacing w:line="360" w:lineRule="auto"/>
        <w:ind w:firstLine="480" w:firstLineChars="200"/>
        <w:rPr>
          <w:rFonts w:ascii="Times New Roman" w:hAnsi="Times New Roman"/>
          <w:sz w:val="24"/>
        </w:rPr>
      </w:pPr>
    </w:p>
    <w:p>
      <w:pPr>
        <w:spacing w:line="360" w:lineRule="auto"/>
        <w:jc w:val="center"/>
        <w:rPr>
          <w:rFonts w:ascii="Times New Roman" w:hAnsi="Times New Roman"/>
          <w:sz w:val="24"/>
        </w:rPr>
      </w:pPr>
      <w:r>
        <w:rPr>
          <w:rFonts w:ascii="Times New Roman" w:hAnsi="Times New Roman"/>
          <w:sz w:val="24"/>
        </w:rPr>
        <w:t>表5   师范院校经济学毕业生面向数字经济岗位的SWOT分析</w:t>
      </w:r>
    </w:p>
    <w:tbl>
      <w:tblPr>
        <w:tblStyle w:val="180"/>
        <w:tblW w:w="9214"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76"/>
        <w:gridCol w:w="4205"/>
        <w:gridCol w:w="3733"/>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6" w:type="dxa"/>
            <w:tcBorders>
              <w:top w:val="single" w:color="auto" w:sz="12" w:space="0"/>
              <w:left w:val="nil"/>
              <w:bottom w:val="single" w:color="auto" w:sz="6" w:space="0"/>
              <w:right w:val="nil"/>
              <w:insideH w:val="single" w:sz="6" w:space="0"/>
              <w:insideV w:val="nil"/>
              <w:tl2br w:val="nil"/>
              <w:tr2bl w:val="nil"/>
            </w:tcBorders>
            <w:vAlign w:val="center"/>
          </w:tcPr>
          <w:p>
            <w:pPr>
              <w:wordWrap/>
              <w:spacing w:line="360" w:lineRule="auto"/>
              <w:jc w:val="center"/>
              <w:rPr>
                <w:rFonts w:ascii="Times New Roman" w:hAnsi="Times New Roman" w:eastAsia="宋体" w:cstheme="minorBidi"/>
                <w:szCs w:val="21"/>
              </w:rPr>
            </w:pPr>
            <w:r>
              <w:rPr>
                <w:rFonts w:ascii="Times New Roman" w:hAnsi="Times New Roman" w:eastAsia="宋体" w:cstheme="minorBidi"/>
                <w:szCs w:val="21"/>
              </w:rPr>
              <w:t>维度</w:t>
            </w:r>
          </w:p>
        </w:tc>
        <w:tc>
          <w:tcPr>
            <w:tcW w:w="4205" w:type="dxa"/>
            <w:tcBorders>
              <w:top w:val="single" w:color="auto" w:sz="12" w:space="0"/>
              <w:bottom w:val="single" w:color="auto" w:sz="6" w:space="0"/>
              <w:right w:val="nil"/>
              <w:insideH w:val="single" w:sz="6" w:space="0"/>
              <w:insideV w:val="nil"/>
              <w:tl2br w:val="nil"/>
              <w:tr2bl w:val="nil"/>
            </w:tcBorders>
            <w:vAlign w:val="center"/>
          </w:tcPr>
          <w:p>
            <w:pPr>
              <w:wordWrap/>
              <w:spacing w:line="360" w:lineRule="auto"/>
              <w:jc w:val="center"/>
              <w:rPr>
                <w:rFonts w:ascii="Times New Roman" w:hAnsi="Times New Roman" w:eastAsia="宋体" w:cstheme="minorBidi"/>
                <w:szCs w:val="21"/>
              </w:rPr>
            </w:pPr>
            <w:r>
              <w:rPr>
                <w:rFonts w:ascii="Times New Roman" w:hAnsi="Times New Roman" w:eastAsia="宋体" w:cstheme="minorBidi"/>
                <w:szCs w:val="21"/>
              </w:rPr>
              <w:t>主要表现</w:t>
            </w:r>
          </w:p>
        </w:tc>
        <w:tc>
          <w:tcPr>
            <w:tcW w:w="3733" w:type="dxa"/>
            <w:tcBorders>
              <w:top w:val="single" w:color="auto" w:sz="12" w:space="0"/>
              <w:bottom w:val="single" w:color="auto" w:sz="6" w:space="0"/>
              <w:right w:val="nil"/>
              <w:insideH w:val="single" w:sz="6" w:space="0"/>
              <w:insideV w:val="nil"/>
              <w:tl2br w:val="nil"/>
              <w:tr2bl w:val="nil"/>
            </w:tcBorders>
            <w:vAlign w:val="center"/>
          </w:tcPr>
          <w:p>
            <w:pPr>
              <w:wordWrap/>
              <w:spacing w:line="360" w:lineRule="auto"/>
              <w:jc w:val="center"/>
              <w:rPr>
                <w:rFonts w:ascii="Times New Roman" w:hAnsi="Times New Roman" w:eastAsia="宋体" w:cstheme="minorBidi"/>
                <w:szCs w:val="21"/>
              </w:rPr>
            </w:pPr>
            <w:r>
              <w:rPr>
                <w:rFonts w:ascii="Times New Roman" w:hAnsi="Times New Roman" w:eastAsia="宋体" w:cstheme="minorBidi"/>
                <w:szCs w:val="21"/>
              </w:rPr>
              <w:t>对专业建设的启示</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6"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优势（S）</w:t>
            </w:r>
          </w:p>
        </w:tc>
        <w:tc>
          <w:tcPr>
            <w:tcW w:w="4205"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经济学理论基础扎实；师范教育强化表达沟通、组织协调和教育技术素养；学校具备人文底蕴与东盟交流资源。</w:t>
            </w:r>
          </w:p>
        </w:tc>
        <w:tc>
          <w:tcPr>
            <w:tcW w:w="3733"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课程设计应突出经济学底座和跨文化沟通能力，把数字工具训练嵌入经济场景。</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6"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劣势（W）</w:t>
            </w:r>
          </w:p>
        </w:tc>
        <w:tc>
          <w:tcPr>
            <w:tcW w:w="4205"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传统经济学培养中编程、数据库、商业智能工具和平台运营训练不足；学生对企业真实数据流程接触有限。</w:t>
            </w:r>
          </w:p>
        </w:tc>
        <w:tc>
          <w:tcPr>
            <w:tcW w:w="3733"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需要设置Python、SQL、数据可视化、平台运营和项目制实训，并引入企业导师共同授课。</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6"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机会（O）</w:t>
            </w:r>
          </w:p>
        </w:tc>
        <w:tc>
          <w:tcPr>
            <w:tcW w:w="4205"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数字经济复合型人才缺口大；广西面向东盟数字贸易、数字金融和多语言AI训练需求增长；中小学人工智能与数字素养教育带来新岗位。</w:t>
            </w:r>
          </w:p>
        </w:tc>
        <w:tc>
          <w:tcPr>
            <w:tcW w:w="3733"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形成产业就业与教育培训双通道，打造数字经贸+东盟合作+数字素养教育特色。</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6"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威胁（T）</w:t>
            </w:r>
          </w:p>
        </w:tc>
        <w:tc>
          <w:tcPr>
            <w:tcW w:w="4205"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区内已有多所高校布局数字经济专业；工科院校在技术训练上更强，财经院校在经济管理领域具有传统优势；AI工具可能替代部分基础分析岗位。</w:t>
            </w:r>
          </w:p>
        </w:tc>
        <w:tc>
          <w:tcPr>
            <w:tcW w:w="3733"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必须避免通用化、同质化培养，强化东盟场景、真实项目、数据合规和不可替代的业务解释能力。</w:t>
            </w:r>
          </w:p>
        </w:tc>
      </w:tr>
    </w:tbl>
    <w:p>
      <w:pPr>
        <w:spacing w:line="360" w:lineRule="auto"/>
        <w:ind w:firstLine="480" w:firstLineChars="200"/>
        <w:rPr>
          <w:rFonts w:ascii="Times New Roman" w:hAnsi="Times New Roman"/>
          <w:sz w:val="24"/>
        </w:rPr>
      </w:pPr>
    </w:p>
    <w:p>
      <w:pPr>
        <w:pStyle w:val="3"/>
        <w:spacing w:before="120" w:beforeLines="50" w:after="120" w:afterLines="50"/>
        <w:jc w:val="center"/>
        <w:rPr>
          <w:rFonts w:ascii="Times New Roman" w:hAnsi="Times New Roman" w:cs="Times New Roman"/>
          <w:sz w:val="24"/>
          <w:szCs w:val="24"/>
        </w:rPr>
      </w:pPr>
      <w:bookmarkStart w:id="98" w:name="_Toc230546461"/>
      <w:bookmarkStart w:id="99" w:name="_Toc230619173"/>
      <w:bookmarkStart w:id="100" w:name="_Toc18526"/>
      <w:bookmarkStart w:id="101" w:name="_Toc28421"/>
      <w:r>
        <w:rPr>
          <w:rFonts w:ascii="Times New Roman" w:hAnsi="Times New Roman" w:cs="Times New Roman"/>
          <w:sz w:val="24"/>
          <w:szCs w:val="24"/>
        </w:rPr>
        <w:t>六、</w:t>
      </w:r>
      <w:bookmarkEnd w:id="98"/>
      <w:r>
        <w:rPr>
          <w:rFonts w:ascii="Times New Roman" w:hAnsi="Times New Roman" w:cs="Times New Roman"/>
          <w:sz w:val="24"/>
          <w:szCs w:val="24"/>
        </w:rPr>
        <w:t>数字经济专业就业前景</w:t>
      </w:r>
      <w:bookmarkEnd w:id="99"/>
      <w:bookmarkEnd w:id="100"/>
      <w:bookmarkEnd w:id="101"/>
    </w:p>
    <w:p>
      <w:pPr>
        <w:pStyle w:val="4"/>
        <w:spacing w:line="360" w:lineRule="auto"/>
        <w:ind w:firstLine="482"/>
        <w:rPr>
          <w:rFonts w:cs="Times New Roman"/>
          <w:sz w:val="24"/>
          <w:szCs w:val="24"/>
        </w:rPr>
      </w:pPr>
      <w:bookmarkStart w:id="102" w:name="_Toc230619174"/>
      <w:bookmarkStart w:id="103" w:name="_Toc230546462"/>
      <w:bookmarkStart w:id="104" w:name="_Toc16152"/>
      <w:bookmarkStart w:id="105" w:name="_Toc12915"/>
      <w:r>
        <w:rPr>
          <w:rFonts w:cs="Times New Roman"/>
          <w:sz w:val="24"/>
          <w:szCs w:val="24"/>
        </w:rPr>
        <w:t>6.1 岗位需求总览</w:t>
      </w:r>
      <w:bookmarkEnd w:id="102"/>
      <w:bookmarkEnd w:id="103"/>
      <w:bookmarkEnd w:id="104"/>
      <w:bookmarkEnd w:id="105"/>
    </w:p>
    <w:p>
      <w:pPr>
        <w:spacing w:line="360" w:lineRule="auto"/>
        <w:ind w:firstLine="480" w:firstLineChars="200"/>
        <w:rPr>
          <w:rFonts w:ascii="Times New Roman" w:hAnsi="Times New Roman"/>
          <w:sz w:val="24"/>
        </w:rPr>
      </w:pPr>
      <w:r>
        <w:rPr>
          <w:rFonts w:ascii="Times New Roman" w:hAnsi="Times New Roman"/>
          <w:sz w:val="24"/>
        </w:rPr>
        <w:t>基于行业调研，数字经济专业毕业生主要面向以下六类岗位群，其中</w:t>
      </w:r>
      <w:r>
        <w:rPr>
          <w:rFonts w:ascii="Times New Roman" w:hAnsi="Times New Roman"/>
          <w:b/>
          <w:bCs/>
          <w:sz w:val="24"/>
        </w:rPr>
        <w:t>面向东盟的特色岗位需求增速最快</w:t>
      </w:r>
      <w:r>
        <w:rPr>
          <w:rFonts w:ascii="Times New Roman" w:hAnsi="Times New Roman"/>
          <w:sz w:val="24"/>
        </w:rPr>
        <w:t>。如表</w:t>
      </w:r>
      <w:r>
        <w:rPr>
          <w:rFonts w:hint="eastAsia" w:ascii="Times New Roman" w:hAnsi="Times New Roman"/>
          <w:sz w:val="24"/>
        </w:rPr>
        <w:t>6</w:t>
      </w:r>
      <w:r>
        <w:rPr>
          <w:rFonts w:ascii="Times New Roman" w:hAnsi="Times New Roman"/>
          <w:sz w:val="24"/>
        </w:rPr>
        <w:t>所示，数字经济专业毕业生可对接跨境电商、数据分析、金融科技、政务数据治理和多语言AI训练等多元岗位群。</w:t>
      </w:r>
    </w:p>
    <w:p>
      <w:pPr>
        <w:spacing w:line="360" w:lineRule="auto"/>
        <w:jc w:val="center"/>
        <w:rPr>
          <w:rFonts w:ascii="Times New Roman" w:hAnsi="Times New Roman"/>
          <w:sz w:val="24"/>
        </w:rPr>
      </w:pPr>
      <w:r>
        <w:rPr>
          <w:rFonts w:ascii="Times New Roman" w:hAnsi="Times New Roman"/>
          <w:sz w:val="24"/>
        </w:rPr>
        <w:t>表</w:t>
      </w:r>
      <w:r>
        <w:rPr>
          <w:rFonts w:hint="eastAsia" w:ascii="Times New Roman" w:hAnsi="Times New Roman"/>
          <w:sz w:val="24"/>
        </w:rPr>
        <w:t>6</w:t>
      </w:r>
      <w:r>
        <w:rPr>
          <w:rFonts w:ascii="Times New Roman" w:hAnsi="Times New Roman"/>
          <w:sz w:val="24"/>
        </w:rPr>
        <w:t xml:space="preserve"> 数字经济专业毕业生主要岗位需求总览</w:t>
      </w:r>
    </w:p>
    <w:tbl>
      <w:tblPr>
        <w:tblStyle w:val="180"/>
        <w:tblW w:w="0" w:type="auto"/>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36"/>
        <w:gridCol w:w="1762"/>
        <w:gridCol w:w="3075"/>
        <w:gridCol w:w="1762"/>
        <w:gridCol w:w="825"/>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12" w:space="0"/>
              <w:left w:val="nil"/>
              <w:bottom w:val="single" w:color="auto" w:sz="6" w:space="0"/>
              <w:right w:val="nil"/>
              <w:insideH w:val="single" w:sz="6" w:space="0"/>
              <w:insideV w:val="nil"/>
              <w:tl2br w:val="nil"/>
              <w:tr2bl w:val="nil"/>
            </w:tcBorders>
            <w:vAlign w:val="center"/>
          </w:tcPr>
          <w:p>
            <w:pPr>
              <w:wordWrap/>
              <w:spacing w:line="360" w:lineRule="auto"/>
              <w:jc w:val="center"/>
              <w:rPr>
                <w:rFonts w:ascii="Times New Roman" w:hAnsi="Times New Roman" w:eastAsia="宋体" w:cstheme="minorBidi"/>
                <w:szCs w:val="21"/>
              </w:rPr>
            </w:pPr>
            <w:r>
              <w:rPr>
                <w:rFonts w:ascii="Times New Roman" w:hAnsi="Times New Roman" w:eastAsia="宋体" w:cstheme="minorBidi"/>
                <w:szCs w:val="21"/>
              </w:rPr>
              <w:t>岗位类别</w:t>
            </w:r>
          </w:p>
        </w:tc>
        <w:tc>
          <w:tcPr>
            <w:tcW w:w="0" w:type="auto"/>
            <w:tcBorders>
              <w:top w:val="single" w:color="auto" w:sz="12" w:space="0"/>
              <w:bottom w:val="single" w:color="auto" w:sz="6" w:space="0"/>
              <w:right w:val="nil"/>
              <w:insideH w:val="single" w:sz="6" w:space="0"/>
              <w:insideV w:val="nil"/>
              <w:tl2br w:val="nil"/>
              <w:tr2bl w:val="nil"/>
            </w:tcBorders>
            <w:vAlign w:val="center"/>
          </w:tcPr>
          <w:p>
            <w:pPr>
              <w:wordWrap/>
              <w:spacing w:line="360" w:lineRule="auto"/>
              <w:jc w:val="center"/>
              <w:rPr>
                <w:rFonts w:ascii="Times New Roman" w:hAnsi="Times New Roman" w:eastAsia="宋体" w:cstheme="minorBidi"/>
                <w:szCs w:val="21"/>
              </w:rPr>
            </w:pPr>
            <w:r>
              <w:rPr>
                <w:rFonts w:ascii="Times New Roman" w:hAnsi="Times New Roman" w:eastAsia="宋体" w:cstheme="minorBidi"/>
                <w:szCs w:val="21"/>
              </w:rPr>
              <w:t>典型岗位</w:t>
            </w:r>
          </w:p>
        </w:tc>
        <w:tc>
          <w:tcPr>
            <w:tcW w:w="0" w:type="auto"/>
            <w:tcBorders>
              <w:top w:val="single" w:color="auto" w:sz="12" w:space="0"/>
              <w:bottom w:val="single" w:color="auto" w:sz="6" w:space="0"/>
              <w:right w:val="nil"/>
              <w:insideH w:val="single" w:sz="6" w:space="0"/>
              <w:insideV w:val="nil"/>
              <w:tl2br w:val="nil"/>
              <w:tr2bl w:val="nil"/>
            </w:tcBorders>
            <w:vAlign w:val="center"/>
          </w:tcPr>
          <w:p>
            <w:pPr>
              <w:wordWrap/>
              <w:spacing w:line="360" w:lineRule="auto"/>
              <w:jc w:val="center"/>
              <w:rPr>
                <w:rFonts w:ascii="Times New Roman" w:hAnsi="Times New Roman" w:eastAsia="宋体" w:cstheme="minorBidi"/>
                <w:szCs w:val="21"/>
              </w:rPr>
            </w:pPr>
            <w:r>
              <w:rPr>
                <w:rFonts w:ascii="Times New Roman" w:hAnsi="Times New Roman" w:eastAsia="宋体" w:cstheme="minorBidi"/>
                <w:szCs w:val="21"/>
              </w:rPr>
              <w:t>核心能力要求</w:t>
            </w:r>
          </w:p>
        </w:tc>
        <w:tc>
          <w:tcPr>
            <w:tcW w:w="0" w:type="auto"/>
            <w:tcBorders>
              <w:top w:val="single" w:color="auto" w:sz="12" w:space="0"/>
              <w:bottom w:val="single" w:color="auto" w:sz="6" w:space="0"/>
              <w:right w:val="nil"/>
              <w:insideH w:val="single" w:sz="6" w:space="0"/>
              <w:insideV w:val="nil"/>
              <w:tl2br w:val="nil"/>
              <w:tr2bl w:val="nil"/>
            </w:tcBorders>
            <w:vAlign w:val="center"/>
          </w:tcPr>
          <w:p>
            <w:pPr>
              <w:wordWrap/>
              <w:spacing w:line="360" w:lineRule="auto"/>
              <w:jc w:val="center"/>
              <w:rPr>
                <w:rFonts w:ascii="Times New Roman" w:hAnsi="Times New Roman" w:eastAsia="宋体" w:cstheme="minorBidi"/>
                <w:szCs w:val="21"/>
              </w:rPr>
            </w:pPr>
            <w:r>
              <w:rPr>
                <w:rFonts w:ascii="Times New Roman" w:hAnsi="Times New Roman" w:eastAsia="宋体" w:cstheme="minorBidi"/>
                <w:szCs w:val="21"/>
              </w:rPr>
              <w:t>主要雇主</w:t>
            </w:r>
          </w:p>
        </w:tc>
        <w:tc>
          <w:tcPr>
            <w:tcW w:w="0" w:type="auto"/>
            <w:tcBorders>
              <w:top w:val="single" w:color="auto" w:sz="12" w:space="0"/>
              <w:bottom w:val="single" w:color="auto" w:sz="6" w:space="0"/>
              <w:right w:val="nil"/>
              <w:insideH w:val="single" w:sz="6" w:space="0"/>
              <w:insideV w:val="nil"/>
              <w:tl2br w:val="nil"/>
              <w:tr2bl w:val="nil"/>
            </w:tcBorders>
            <w:vAlign w:val="center"/>
          </w:tcPr>
          <w:p>
            <w:pPr>
              <w:wordWrap/>
              <w:spacing w:line="360" w:lineRule="auto"/>
              <w:jc w:val="center"/>
              <w:rPr>
                <w:rFonts w:ascii="Times New Roman" w:hAnsi="Times New Roman" w:eastAsia="宋体" w:cstheme="minorBidi"/>
                <w:szCs w:val="21"/>
              </w:rPr>
            </w:pPr>
            <w:r>
              <w:rPr>
                <w:rFonts w:ascii="Times New Roman" w:hAnsi="Times New Roman" w:eastAsia="宋体" w:cstheme="minorBidi"/>
                <w:szCs w:val="21"/>
              </w:rPr>
              <w:t>招聘</w:t>
            </w:r>
          </w:p>
          <w:p>
            <w:pPr>
              <w:wordWrap/>
              <w:spacing w:line="360" w:lineRule="auto"/>
              <w:jc w:val="center"/>
              <w:rPr>
                <w:rFonts w:ascii="Times New Roman" w:hAnsi="Times New Roman" w:eastAsia="宋体" w:cstheme="minorBidi"/>
                <w:szCs w:val="21"/>
              </w:rPr>
            </w:pPr>
            <w:r>
              <w:rPr>
                <w:rFonts w:ascii="Times New Roman" w:hAnsi="Times New Roman" w:eastAsia="宋体" w:cstheme="minorBidi"/>
                <w:szCs w:val="21"/>
              </w:rPr>
              <w:t>增速</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数字商务与跨境电商</w:t>
            </w:r>
          </w:p>
        </w:tc>
        <w:tc>
          <w:tcPr>
            <w:tcW w:w="0" w:type="auto"/>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跨境电商运营、数字营销</w:t>
            </w:r>
          </w:p>
        </w:tc>
        <w:tc>
          <w:tcPr>
            <w:tcW w:w="0" w:type="auto"/>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经济学+平台运营+数据分析+东盟市场知识</w:t>
            </w:r>
          </w:p>
        </w:tc>
        <w:tc>
          <w:tcPr>
            <w:tcW w:w="0" w:type="auto"/>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跨境电商企业、电商平台</w:t>
            </w:r>
          </w:p>
        </w:tc>
        <w:tc>
          <w:tcPr>
            <w:tcW w:w="0" w:type="auto"/>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120%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数据分析与商业智能</w:t>
            </w:r>
          </w:p>
        </w:tc>
        <w:tc>
          <w:tcPr>
            <w:tcW w:w="0" w:type="auto"/>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数据分析师、商业分析师</w:t>
            </w:r>
          </w:p>
        </w:tc>
        <w:tc>
          <w:tcPr>
            <w:tcW w:w="0" w:type="auto"/>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经济学+统计学+Python/SQL+数据可视化</w:t>
            </w:r>
          </w:p>
        </w:tc>
        <w:tc>
          <w:tcPr>
            <w:tcW w:w="0" w:type="auto"/>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互联网企业、金融机构</w:t>
            </w:r>
          </w:p>
        </w:tc>
        <w:tc>
          <w:tcPr>
            <w:tcW w:w="0" w:type="auto"/>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35%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数字金融与金融科技</w:t>
            </w:r>
          </w:p>
        </w:tc>
        <w:tc>
          <w:tcPr>
            <w:tcW w:w="0" w:type="auto"/>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智能风控、产品经理</w:t>
            </w:r>
          </w:p>
        </w:tc>
        <w:tc>
          <w:tcPr>
            <w:tcW w:w="0" w:type="auto"/>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金融学+编程基础+机器学习+监管合规</w:t>
            </w:r>
          </w:p>
        </w:tc>
        <w:tc>
          <w:tcPr>
            <w:tcW w:w="0" w:type="auto"/>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银行、金融科技公司</w:t>
            </w:r>
          </w:p>
        </w:tc>
        <w:tc>
          <w:tcPr>
            <w:tcW w:w="0" w:type="auto"/>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28%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产业数字化咨询</w:t>
            </w:r>
          </w:p>
        </w:tc>
        <w:tc>
          <w:tcPr>
            <w:tcW w:w="0" w:type="auto"/>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数字化转型顾问</w:t>
            </w:r>
          </w:p>
        </w:tc>
        <w:tc>
          <w:tcPr>
            <w:tcW w:w="0" w:type="auto"/>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行业知识+数字化技术理解+项目管理</w:t>
            </w:r>
          </w:p>
        </w:tc>
        <w:tc>
          <w:tcPr>
            <w:tcW w:w="0" w:type="auto"/>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咨询公司、科技公司</w:t>
            </w:r>
          </w:p>
        </w:tc>
        <w:tc>
          <w:tcPr>
            <w:tcW w:w="0" w:type="auto"/>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22%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数字政务与公共数据</w:t>
            </w:r>
          </w:p>
        </w:tc>
        <w:tc>
          <w:tcPr>
            <w:tcW w:w="0" w:type="auto"/>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数据治理、政策分析</w:t>
            </w:r>
          </w:p>
        </w:tc>
        <w:tc>
          <w:tcPr>
            <w:tcW w:w="0" w:type="auto"/>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公共管理+数据治理+政策研究</w:t>
            </w:r>
          </w:p>
        </w:tc>
        <w:tc>
          <w:tcPr>
            <w:tcW w:w="0" w:type="auto"/>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政府部门、事业单位</w:t>
            </w:r>
          </w:p>
        </w:tc>
        <w:tc>
          <w:tcPr>
            <w:tcW w:w="0" w:type="auto"/>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15%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新兴岗位（东盟特色）</w:t>
            </w:r>
          </w:p>
        </w:tc>
        <w:tc>
          <w:tcPr>
            <w:tcW w:w="0" w:type="auto"/>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多语言AI训练师</w:t>
            </w:r>
          </w:p>
        </w:tc>
        <w:tc>
          <w:tcPr>
            <w:tcW w:w="0" w:type="auto"/>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东盟小语种+数据处理+AI基础</w:t>
            </w:r>
          </w:p>
        </w:tc>
        <w:tc>
          <w:tcPr>
            <w:tcW w:w="0" w:type="auto"/>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AI企业、计算中心</w:t>
            </w:r>
          </w:p>
        </w:tc>
        <w:tc>
          <w:tcPr>
            <w:tcW w:w="0" w:type="auto"/>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600%+</w:t>
            </w:r>
          </w:p>
        </w:tc>
      </w:tr>
    </w:tbl>
    <w:p>
      <w:pPr>
        <w:spacing w:line="360" w:lineRule="auto"/>
        <w:ind w:firstLine="420" w:firstLineChars="200"/>
        <w:rPr>
          <w:rFonts w:ascii="Times New Roman" w:hAnsi="Times New Roman"/>
          <w:szCs w:val="21"/>
        </w:rPr>
      </w:pPr>
      <w:r>
        <w:rPr>
          <w:rFonts w:ascii="Times New Roman" w:hAnsi="Times New Roman"/>
          <w:szCs w:val="21"/>
        </w:rPr>
        <w:t>资料来源：根据人力资源社会保障部等《加快数字人才培育支撑数字经济发展行动方案（2024—2026年）》、前程无忧《校园招聘白皮书2025》、广西跨境电商与数字经济相关公开资料整理。</w:t>
      </w:r>
    </w:p>
    <w:p>
      <w:pPr>
        <w:spacing w:line="360" w:lineRule="auto"/>
        <w:ind w:firstLine="480" w:firstLineChars="200"/>
        <w:rPr>
          <w:rFonts w:ascii="Times New Roman" w:hAnsi="Times New Roman"/>
          <w:sz w:val="24"/>
        </w:rPr>
      </w:pPr>
    </w:p>
    <w:p>
      <w:pPr>
        <w:pStyle w:val="4"/>
        <w:spacing w:line="360" w:lineRule="auto"/>
        <w:ind w:firstLine="482"/>
        <w:rPr>
          <w:rFonts w:cs="Times New Roman"/>
          <w:sz w:val="24"/>
          <w:szCs w:val="24"/>
        </w:rPr>
      </w:pPr>
      <w:bookmarkStart w:id="106" w:name="_Toc230546463"/>
      <w:bookmarkStart w:id="107" w:name="_Toc19995"/>
      <w:bookmarkStart w:id="108" w:name="_Toc9065"/>
      <w:bookmarkStart w:id="109" w:name="_Toc230619175"/>
      <w:r>
        <w:rPr>
          <w:rFonts w:cs="Times New Roman"/>
          <w:sz w:val="24"/>
          <w:szCs w:val="24"/>
        </w:rPr>
        <w:t>6.2 关键岗位详细分析</w:t>
      </w:r>
      <w:bookmarkEnd w:id="106"/>
      <w:bookmarkEnd w:id="107"/>
      <w:bookmarkEnd w:id="108"/>
      <w:bookmarkEnd w:id="109"/>
    </w:p>
    <w:p>
      <w:pPr>
        <w:spacing w:line="360" w:lineRule="auto"/>
        <w:ind w:firstLine="480" w:firstLineChars="200"/>
        <w:rPr>
          <w:rFonts w:ascii="Times New Roman" w:hAnsi="Times New Roman"/>
          <w:sz w:val="24"/>
        </w:rPr>
      </w:pPr>
      <w:r>
        <w:rPr>
          <w:rFonts w:ascii="Times New Roman" w:hAnsi="Times New Roman"/>
          <w:sz w:val="24"/>
        </w:rPr>
        <w:t>与传统经济学专业相比，数字经济专业起薪普遍高于传统经济学专业20%至40%，面向东盟的国际化复合型人才薪资溢价可达30%。技术复合能力（数据分析、编程）是薪资溢价的核心来源</w:t>
      </w:r>
      <w:r>
        <w:rPr>
          <w:rStyle w:val="146"/>
          <w:rFonts w:ascii="Times New Roman" w:hAnsi="Times New Roman"/>
          <w:sz w:val="24"/>
        </w:rPr>
        <w:footnoteReference w:id="24"/>
      </w:r>
      <w:r>
        <w:rPr>
          <w:rFonts w:ascii="Times New Roman" w:hAnsi="Times New Roman"/>
          <w:sz w:val="24"/>
        </w:rPr>
        <w:t>。</w:t>
      </w:r>
    </w:p>
    <w:p>
      <w:pPr>
        <w:spacing w:line="360" w:lineRule="auto"/>
        <w:ind w:firstLine="480" w:firstLineChars="200"/>
        <w:rPr>
          <w:rFonts w:ascii="Times New Roman" w:hAnsi="Times New Roman"/>
          <w:sz w:val="24"/>
        </w:rPr>
      </w:pPr>
      <w:r>
        <w:rPr>
          <w:rFonts w:ascii="Times New Roman" w:hAnsi="Times New Roman"/>
          <w:sz w:val="24"/>
        </w:rPr>
        <w:t>（1）跨境电商运营岗。负责跨境电商平台（Lazada、Shopee、TikTok Shop等）的店铺运营、产品上架、营销推广、订单管理。核心能力包括经济学基础（国际贸易、市场营销）、平台运营技能、数据分析能力、东盟市场文化理解、外语能力（英语/越南语/泰语）。广西应届本科起薪</w:t>
      </w:r>
      <w:r>
        <w:rPr>
          <w:rFonts w:hint="eastAsia" w:ascii="Times New Roman" w:hAnsi="Times New Roman"/>
          <w:sz w:val="24"/>
        </w:rPr>
        <w:t>6万至10万</w:t>
      </w:r>
      <w:r>
        <w:rPr>
          <w:rFonts w:ascii="Times New Roman" w:hAnsi="Times New Roman"/>
          <w:sz w:val="24"/>
        </w:rPr>
        <w:t>元/年，3至5年经验者</w:t>
      </w:r>
      <w:r>
        <w:rPr>
          <w:rFonts w:hint="eastAsia" w:ascii="Times New Roman" w:hAnsi="Times New Roman"/>
          <w:sz w:val="24"/>
        </w:rPr>
        <w:t>15万至25万</w:t>
      </w:r>
      <w:r>
        <w:rPr>
          <w:rFonts w:ascii="Times New Roman" w:hAnsi="Times New Roman"/>
          <w:sz w:val="24"/>
        </w:rPr>
        <w:t>元/年，东盟市场岗位薪资溢价约20%。</w:t>
      </w:r>
    </w:p>
    <w:p>
      <w:pPr>
        <w:spacing w:line="360" w:lineRule="auto"/>
        <w:ind w:firstLine="480" w:firstLineChars="200"/>
        <w:rPr>
          <w:rFonts w:ascii="Times New Roman" w:hAnsi="Times New Roman"/>
          <w:sz w:val="24"/>
        </w:rPr>
      </w:pPr>
      <w:r>
        <w:rPr>
          <w:rFonts w:ascii="Times New Roman" w:hAnsi="Times New Roman"/>
          <w:sz w:val="24"/>
        </w:rPr>
        <w:t>（2）多语言AI训练师岗。随着东盟大模型发展而兴起，负责东盟语言的AI数据标注、Prompt工程、大模型微调。广西该岗位缺口较大，2024年招聘量同比增长显著。应届本科起薪</w:t>
      </w:r>
      <w:r>
        <w:rPr>
          <w:rFonts w:hint="eastAsia" w:ascii="Times New Roman" w:hAnsi="Times New Roman"/>
          <w:sz w:val="24"/>
        </w:rPr>
        <w:t>7万至12万</w:t>
      </w:r>
      <w:r>
        <w:rPr>
          <w:rFonts w:ascii="Times New Roman" w:hAnsi="Times New Roman"/>
          <w:sz w:val="24"/>
        </w:rPr>
        <w:t>元/年，3至5年经验者</w:t>
      </w:r>
      <w:r>
        <w:rPr>
          <w:rFonts w:hint="eastAsia" w:ascii="Times New Roman" w:hAnsi="Times New Roman"/>
          <w:sz w:val="24"/>
        </w:rPr>
        <w:t>18万至30万</w:t>
      </w:r>
      <w:r>
        <w:rPr>
          <w:rFonts w:ascii="Times New Roman" w:hAnsi="Times New Roman"/>
          <w:sz w:val="24"/>
        </w:rPr>
        <w:t>元/年。</w:t>
      </w:r>
    </w:p>
    <w:p>
      <w:pPr>
        <w:spacing w:line="360" w:lineRule="auto"/>
        <w:ind w:firstLine="480" w:firstLineChars="200"/>
        <w:rPr>
          <w:rFonts w:ascii="Times New Roman" w:hAnsi="Times New Roman"/>
          <w:sz w:val="24"/>
        </w:rPr>
      </w:pPr>
      <w:r>
        <w:rPr>
          <w:rFonts w:ascii="Times New Roman" w:hAnsi="Times New Roman"/>
          <w:sz w:val="24"/>
        </w:rPr>
        <w:t>（3）数据分析师岗。收集、清洗、分析业务数据，制作数据报告，为经营决策提供数据支持。核心能力包括统计学基础、SQL/Python数据处理、数据可视化（Tableau/Power BI）、业务理解能力。广西应届本科起薪</w:t>
      </w:r>
      <w:r>
        <w:rPr>
          <w:rFonts w:hint="eastAsia" w:ascii="Times New Roman" w:hAnsi="Times New Roman"/>
          <w:sz w:val="24"/>
        </w:rPr>
        <w:t>8万至12万</w:t>
      </w:r>
      <w:r>
        <w:rPr>
          <w:rFonts w:ascii="Times New Roman" w:hAnsi="Times New Roman"/>
          <w:sz w:val="24"/>
        </w:rPr>
        <w:t>元/年，一线城市</w:t>
      </w:r>
      <w:r>
        <w:rPr>
          <w:rFonts w:hint="eastAsia" w:ascii="Times New Roman" w:hAnsi="Times New Roman"/>
          <w:sz w:val="24"/>
        </w:rPr>
        <w:t>15万至25万</w:t>
      </w:r>
      <w:r>
        <w:rPr>
          <w:rFonts w:ascii="Times New Roman" w:hAnsi="Times New Roman"/>
          <w:sz w:val="24"/>
        </w:rPr>
        <w:t>元/年，3至5年经验者</w:t>
      </w:r>
      <w:r>
        <w:rPr>
          <w:rFonts w:hint="eastAsia" w:ascii="Times New Roman" w:hAnsi="Times New Roman"/>
          <w:sz w:val="24"/>
        </w:rPr>
        <w:t>25万至40万</w:t>
      </w:r>
      <w:r>
        <w:rPr>
          <w:rFonts w:ascii="Times New Roman" w:hAnsi="Times New Roman"/>
          <w:sz w:val="24"/>
        </w:rPr>
        <w:t>元/年。</w:t>
      </w:r>
    </w:p>
    <w:p>
      <w:pPr>
        <w:spacing w:line="360" w:lineRule="auto"/>
        <w:ind w:firstLine="480" w:firstLineChars="200"/>
        <w:rPr>
          <w:rFonts w:ascii="Times New Roman" w:hAnsi="Times New Roman"/>
          <w:sz w:val="24"/>
        </w:rPr>
      </w:pPr>
      <w:r>
        <w:rPr>
          <w:rFonts w:ascii="Times New Roman" w:hAnsi="Times New Roman"/>
          <w:sz w:val="24"/>
        </w:rPr>
        <w:t>（4）金融科技岗。参与金融产品设计、风控模型开发、数字化运营策略制定。核心能力包括金融学理论、编程基础（Python/R）、机器学习基础、监管政策理解。广西应届本科起薪</w:t>
      </w:r>
      <w:r>
        <w:rPr>
          <w:rFonts w:hint="eastAsia" w:ascii="Times New Roman" w:hAnsi="Times New Roman"/>
          <w:sz w:val="24"/>
        </w:rPr>
        <w:t>10万至15万</w:t>
      </w:r>
      <w:r>
        <w:rPr>
          <w:rFonts w:ascii="Times New Roman" w:hAnsi="Times New Roman"/>
          <w:sz w:val="24"/>
        </w:rPr>
        <w:t>元/年，一线城市</w:t>
      </w:r>
      <w:r>
        <w:rPr>
          <w:rFonts w:hint="eastAsia" w:ascii="Times New Roman" w:hAnsi="Times New Roman"/>
          <w:sz w:val="24"/>
        </w:rPr>
        <w:t>18万至30万</w:t>
      </w:r>
      <w:r>
        <w:rPr>
          <w:rFonts w:ascii="Times New Roman" w:hAnsi="Times New Roman"/>
          <w:sz w:val="24"/>
        </w:rPr>
        <w:t>元/年。</w:t>
      </w:r>
    </w:p>
    <w:p>
      <w:pPr>
        <w:spacing w:line="360" w:lineRule="auto"/>
        <w:ind w:firstLine="480" w:firstLineChars="200"/>
        <w:rPr>
          <w:rFonts w:ascii="Times New Roman" w:hAnsi="Times New Roman"/>
          <w:sz w:val="24"/>
        </w:rPr>
      </w:pPr>
      <w:r>
        <w:rPr>
          <w:rFonts w:ascii="Times New Roman" w:hAnsi="Times New Roman"/>
          <w:sz w:val="24"/>
        </w:rPr>
        <w:t>（5）产业数字化咨询岗。为传统企业提供数字化转型诊断、方案设计、项目实施服务。应届本科起薪</w:t>
      </w:r>
      <w:r>
        <w:rPr>
          <w:rFonts w:hint="eastAsia" w:ascii="Times New Roman" w:hAnsi="Times New Roman"/>
          <w:sz w:val="24"/>
        </w:rPr>
        <w:t>8万至12万</w:t>
      </w:r>
      <w:r>
        <w:rPr>
          <w:rFonts w:ascii="Times New Roman" w:hAnsi="Times New Roman"/>
          <w:sz w:val="24"/>
        </w:rPr>
        <w:t>元/年，资深顾问</w:t>
      </w:r>
      <w:r>
        <w:rPr>
          <w:rFonts w:hint="eastAsia" w:ascii="Times New Roman" w:hAnsi="Times New Roman"/>
          <w:sz w:val="24"/>
        </w:rPr>
        <w:t>30万至50万</w:t>
      </w:r>
      <w:r>
        <w:rPr>
          <w:rFonts w:ascii="Times New Roman" w:hAnsi="Times New Roman"/>
          <w:sz w:val="24"/>
        </w:rPr>
        <w:t>元/年。</w:t>
      </w:r>
    </w:p>
    <w:p>
      <w:pPr>
        <w:spacing w:line="360" w:lineRule="auto"/>
        <w:jc w:val="center"/>
        <w:rPr>
          <w:rFonts w:ascii="Times New Roman" w:hAnsi="Times New Roman"/>
          <w:sz w:val="24"/>
        </w:rPr>
      </w:pPr>
      <w:r>
        <w:rPr>
          <w:rFonts w:ascii="Times New Roman" w:hAnsi="Times New Roman"/>
          <w:sz w:val="24"/>
        </w:rPr>
        <w:t>表</w:t>
      </w:r>
      <w:r>
        <w:rPr>
          <w:rFonts w:hint="eastAsia" w:ascii="Times New Roman" w:hAnsi="Times New Roman"/>
          <w:sz w:val="24"/>
        </w:rPr>
        <w:t>7</w:t>
      </w:r>
      <w:r>
        <w:rPr>
          <w:rFonts w:ascii="Times New Roman" w:hAnsi="Times New Roman"/>
          <w:sz w:val="24"/>
        </w:rPr>
        <w:t xml:space="preserve"> 分岗位薪资对比</w:t>
      </w:r>
    </w:p>
    <w:tbl>
      <w:tblPr>
        <w:tblStyle w:val="180"/>
        <w:tblW w:w="9217"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80"/>
        <w:gridCol w:w="2180"/>
        <w:gridCol w:w="2677"/>
        <w:gridCol w:w="2180"/>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2180" w:type="dxa"/>
            <w:tcBorders>
              <w:top w:val="single" w:color="auto" w:sz="12" w:space="0"/>
              <w:left w:val="nil"/>
              <w:bottom w:val="single" w:color="auto" w:sz="6" w:space="0"/>
              <w:right w:val="nil"/>
              <w:insideH w:val="single" w:sz="6" w:space="0"/>
              <w:insideV w:val="nil"/>
              <w:tl2br w:val="nil"/>
              <w:tr2bl w:val="nil"/>
            </w:tcBorders>
            <w:vAlign w:val="center"/>
          </w:tcPr>
          <w:p>
            <w:pPr>
              <w:wordWrap/>
              <w:spacing w:line="360" w:lineRule="auto"/>
              <w:jc w:val="center"/>
              <w:rPr>
                <w:rFonts w:ascii="Times New Roman" w:hAnsi="Times New Roman" w:eastAsia="宋体" w:cstheme="minorBidi"/>
                <w:szCs w:val="21"/>
              </w:rPr>
            </w:pPr>
            <w:r>
              <w:rPr>
                <w:rFonts w:ascii="Times New Roman" w:hAnsi="Times New Roman" w:eastAsia="宋体" w:cstheme="minorBidi"/>
                <w:szCs w:val="21"/>
              </w:rPr>
              <w:t>岗位类型</w:t>
            </w:r>
          </w:p>
        </w:tc>
        <w:tc>
          <w:tcPr>
            <w:tcW w:w="2180" w:type="dxa"/>
            <w:tcBorders>
              <w:top w:val="single" w:color="auto" w:sz="12" w:space="0"/>
              <w:bottom w:val="single" w:color="auto" w:sz="6" w:space="0"/>
              <w:right w:val="nil"/>
              <w:insideH w:val="single" w:sz="6" w:space="0"/>
              <w:insideV w:val="nil"/>
              <w:tl2br w:val="nil"/>
              <w:tr2bl w:val="nil"/>
            </w:tcBorders>
            <w:vAlign w:val="center"/>
          </w:tcPr>
          <w:p>
            <w:pPr>
              <w:wordWrap/>
              <w:spacing w:line="360" w:lineRule="auto"/>
              <w:jc w:val="center"/>
              <w:rPr>
                <w:rFonts w:ascii="Times New Roman" w:hAnsi="Times New Roman" w:eastAsia="宋体" w:cstheme="minorBidi"/>
                <w:szCs w:val="21"/>
              </w:rPr>
            </w:pPr>
            <w:r>
              <w:rPr>
                <w:rFonts w:ascii="Times New Roman" w:hAnsi="Times New Roman" w:eastAsia="宋体" w:cstheme="minorBidi"/>
                <w:szCs w:val="21"/>
              </w:rPr>
              <w:t>应届本科起薪</w:t>
            </w:r>
          </w:p>
          <w:p>
            <w:pPr>
              <w:wordWrap/>
              <w:spacing w:line="360" w:lineRule="auto"/>
              <w:jc w:val="center"/>
              <w:rPr>
                <w:rFonts w:ascii="Times New Roman" w:hAnsi="Times New Roman" w:eastAsia="宋体" w:cstheme="minorBidi"/>
                <w:szCs w:val="21"/>
              </w:rPr>
            </w:pPr>
            <w:r>
              <w:rPr>
                <w:rFonts w:ascii="Times New Roman" w:hAnsi="Times New Roman" w:eastAsia="宋体" w:cstheme="minorBidi"/>
                <w:szCs w:val="21"/>
              </w:rPr>
              <w:t>（广西）</w:t>
            </w:r>
          </w:p>
        </w:tc>
        <w:tc>
          <w:tcPr>
            <w:tcW w:w="2677" w:type="dxa"/>
            <w:tcBorders>
              <w:top w:val="single" w:color="auto" w:sz="12" w:space="0"/>
              <w:bottom w:val="single" w:color="auto" w:sz="6" w:space="0"/>
              <w:right w:val="nil"/>
              <w:insideH w:val="single" w:sz="6" w:space="0"/>
              <w:insideV w:val="nil"/>
              <w:tl2br w:val="nil"/>
              <w:tr2bl w:val="nil"/>
            </w:tcBorders>
            <w:vAlign w:val="center"/>
          </w:tcPr>
          <w:p>
            <w:pPr>
              <w:wordWrap/>
              <w:spacing w:line="360" w:lineRule="auto"/>
              <w:jc w:val="center"/>
              <w:rPr>
                <w:rFonts w:ascii="Times New Roman" w:hAnsi="Times New Roman" w:eastAsia="宋体" w:cstheme="minorBidi"/>
                <w:szCs w:val="21"/>
              </w:rPr>
            </w:pPr>
            <w:r>
              <w:rPr>
                <w:rFonts w:ascii="Times New Roman" w:hAnsi="Times New Roman" w:eastAsia="宋体" w:cstheme="minorBidi"/>
                <w:szCs w:val="21"/>
              </w:rPr>
              <w:t>应届本科起薪（一线城市）</w:t>
            </w:r>
          </w:p>
        </w:tc>
        <w:tc>
          <w:tcPr>
            <w:tcW w:w="2180" w:type="dxa"/>
            <w:tcBorders>
              <w:top w:val="single" w:color="auto" w:sz="12" w:space="0"/>
              <w:bottom w:val="single" w:color="auto" w:sz="6" w:space="0"/>
              <w:right w:val="nil"/>
              <w:insideH w:val="single" w:sz="6" w:space="0"/>
              <w:insideV w:val="nil"/>
              <w:tl2br w:val="nil"/>
              <w:tr2bl w:val="nil"/>
            </w:tcBorders>
            <w:vAlign w:val="center"/>
          </w:tcPr>
          <w:p>
            <w:pPr>
              <w:wordWrap/>
              <w:spacing w:line="360" w:lineRule="auto"/>
              <w:jc w:val="center"/>
              <w:rPr>
                <w:rFonts w:ascii="Times New Roman" w:hAnsi="Times New Roman" w:eastAsia="宋体" w:cstheme="minorBidi"/>
                <w:szCs w:val="21"/>
              </w:rPr>
            </w:pPr>
            <w:r>
              <w:rPr>
                <w:rFonts w:ascii="Times New Roman" w:hAnsi="Times New Roman" w:eastAsia="宋体" w:cstheme="minorBidi"/>
                <w:szCs w:val="21"/>
              </w:rPr>
              <w:t>3至5年经验薪资</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180"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跨境电商运营</w:t>
            </w:r>
          </w:p>
        </w:tc>
        <w:tc>
          <w:tcPr>
            <w:tcW w:w="2180" w:type="dxa"/>
            <w:vAlign w:val="center"/>
          </w:tcPr>
          <w:p>
            <w:pPr>
              <w:spacing w:line="360" w:lineRule="auto"/>
              <w:jc w:val="center"/>
              <w:rPr>
                <w:rFonts w:ascii="Times New Roman" w:hAnsi="Times New Roman" w:eastAsia="Times New Roman" w:cstheme="minorBidi"/>
                <w:szCs w:val="21"/>
              </w:rPr>
            </w:pPr>
            <w:r>
              <w:rPr>
                <w:rFonts w:hint="eastAsia" w:ascii="Times New Roman" w:hAnsi="Times New Roman" w:eastAsia="Times New Roman" w:cstheme="minorBidi"/>
                <w:szCs w:val="21"/>
              </w:rPr>
              <w:t>6万至10万</w:t>
            </w:r>
          </w:p>
        </w:tc>
        <w:tc>
          <w:tcPr>
            <w:tcW w:w="2677" w:type="dxa"/>
            <w:vAlign w:val="center"/>
          </w:tcPr>
          <w:p>
            <w:pPr>
              <w:spacing w:line="360" w:lineRule="auto"/>
              <w:jc w:val="center"/>
              <w:rPr>
                <w:rFonts w:ascii="Times New Roman" w:hAnsi="Times New Roman" w:eastAsia="Times New Roman" w:cstheme="minorBidi"/>
                <w:szCs w:val="21"/>
              </w:rPr>
            </w:pPr>
            <w:r>
              <w:rPr>
                <w:rFonts w:hint="eastAsia" w:ascii="Times New Roman" w:hAnsi="Times New Roman" w:eastAsia="Times New Roman" w:cstheme="minorBidi"/>
                <w:szCs w:val="21"/>
              </w:rPr>
              <w:t>10万至15万</w:t>
            </w:r>
          </w:p>
        </w:tc>
        <w:tc>
          <w:tcPr>
            <w:tcW w:w="2180" w:type="dxa"/>
            <w:vAlign w:val="center"/>
          </w:tcPr>
          <w:p>
            <w:pPr>
              <w:spacing w:line="360" w:lineRule="auto"/>
              <w:jc w:val="center"/>
              <w:rPr>
                <w:rFonts w:ascii="Times New Roman" w:hAnsi="Times New Roman" w:eastAsia="Times New Roman" w:cstheme="minorBidi"/>
                <w:szCs w:val="21"/>
              </w:rPr>
            </w:pPr>
            <w:r>
              <w:rPr>
                <w:rFonts w:hint="eastAsia" w:ascii="Times New Roman" w:hAnsi="Times New Roman" w:eastAsia="Times New Roman" w:cstheme="minorBidi"/>
                <w:szCs w:val="21"/>
              </w:rPr>
              <w:t>15万至25万</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180"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多语言AI训练师</w:t>
            </w:r>
          </w:p>
        </w:tc>
        <w:tc>
          <w:tcPr>
            <w:tcW w:w="2180" w:type="dxa"/>
            <w:vAlign w:val="center"/>
          </w:tcPr>
          <w:p>
            <w:pPr>
              <w:spacing w:line="360" w:lineRule="auto"/>
              <w:jc w:val="center"/>
              <w:rPr>
                <w:rFonts w:ascii="Times New Roman" w:hAnsi="Times New Roman" w:eastAsia="Times New Roman" w:cstheme="minorBidi"/>
                <w:szCs w:val="21"/>
              </w:rPr>
            </w:pPr>
            <w:r>
              <w:rPr>
                <w:rFonts w:hint="eastAsia" w:ascii="Times New Roman" w:hAnsi="Times New Roman" w:eastAsia="Times New Roman" w:cstheme="minorBidi"/>
                <w:szCs w:val="21"/>
              </w:rPr>
              <w:t>7万至12万</w:t>
            </w:r>
          </w:p>
        </w:tc>
        <w:tc>
          <w:tcPr>
            <w:tcW w:w="2677" w:type="dxa"/>
            <w:vAlign w:val="center"/>
          </w:tcPr>
          <w:p>
            <w:pPr>
              <w:spacing w:line="360" w:lineRule="auto"/>
              <w:jc w:val="center"/>
              <w:rPr>
                <w:rFonts w:ascii="Times New Roman" w:hAnsi="Times New Roman" w:eastAsia="Times New Roman" w:cstheme="minorBidi"/>
                <w:szCs w:val="21"/>
              </w:rPr>
            </w:pPr>
            <w:r>
              <w:rPr>
                <w:rFonts w:hint="eastAsia" w:ascii="Times New Roman" w:hAnsi="Times New Roman" w:eastAsia="Times New Roman" w:cstheme="minorBidi"/>
                <w:szCs w:val="21"/>
              </w:rPr>
              <w:t>12万至18万</w:t>
            </w:r>
          </w:p>
        </w:tc>
        <w:tc>
          <w:tcPr>
            <w:tcW w:w="2180" w:type="dxa"/>
            <w:vAlign w:val="center"/>
          </w:tcPr>
          <w:p>
            <w:pPr>
              <w:spacing w:line="360" w:lineRule="auto"/>
              <w:jc w:val="center"/>
              <w:rPr>
                <w:rFonts w:ascii="Times New Roman" w:hAnsi="Times New Roman" w:eastAsia="Times New Roman" w:cstheme="minorBidi"/>
                <w:szCs w:val="21"/>
              </w:rPr>
            </w:pPr>
            <w:r>
              <w:rPr>
                <w:rFonts w:hint="eastAsia" w:ascii="Times New Roman" w:hAnsi="Times New Roman" w:eastAsia="Times New Roman" w:cstheme="minorBidi"/>
                <w:szCs w:val="21"/>
              </w:rPr>
              <w:t>18万至30万</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180"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数据分析师</w:t>
            </w:r>
          </w:p>
        </w:tc>
        <w:tc>
          <w:tcPr>
            <w:tcW w:w="2180" w:type="dxa"/>
            <w:vAlign w:val="center"/>
          </w:tcPr>
          <w:p>
            <w:pPr>
              <w:spacing w:line="360" w:lineRule="auto"/>
              <w:jc w:val="center"/>
              <w:rPr>
                <w:rFonts w:ascii="Times New Roman" w:hAnsi="Times New Roman" w:eastAsia="Times New Roman" w:cstheme="minorBidi"/>
                <w:szCs w:val="21"/>
              </w:rPr>
            </w:pPr>
            <w:r>
              <w:rPr>
                <w:rFonts w:hint="eastAsia" w:ascii="Times New Roman" w:hAnsi="Times New Roman" w:eastAsia="Times New Roman" w:cstheme="minorBidi"/>
                <w:szCs w:val="21"/>
              </w:rPr>
              <w:t>8万至12万</w:t>
            </w:r>
          </w:p>
        </w:tc>
        <w:tc>
          <w:tcPr>
            <w:tcW w:w="2677" w:type="dxa"/>
            <w:vAlign w:val="center"/>
          </w:tcPr>
          <w:p>
            <w:pPr>
              <w:spacing w:line="360" w:lineRule="auto"/>
              <w:jc w:val="center"/>
              <w:rPr>
                <w:rFonts w:ascii="Times New Roman" w:hAnsi="Times New Roman" w:eastAsia="Times New Roman" w:cstheme="minorBidi"/>
                <w:szCs w:val="21"/>
              </w:rPr>
            </w:pPr>
            <w:r>
              <w:rPr>
                <w:rFonts w:hint="eastAsia" w:ascii="Times New Roman" w:hAnsi="Times New Roman" w:eastAsia="Times New Roman" w:cstheme="minorBidi"/>
                <w:szCs w:val="21"/>
              </w:rPr>
              <w:t>15万至25万</w:t>
            </w:r>
          </w:p>
        </w:tc>
        <w:tc>
          <w:tcPr>
            <w:tcW w:w="2180" w:type="dxa"/>
            <w:vAlign w:val="center"/>
          </w:tcPr>
          <w:p>
            <w:pPr>
              <w:spacing w:line="360" w:lineRule="auto"/>
              <w:jc w:val="center"/>
              <w:rPr>
                <w:rFonts w:ascii="Times New Roman" w:hAnsi="Times New Roman" w:eastAsia="Times New Roman" w:cstheme="minorBidi"/>
                <w:szCs w:val="21"/>
              </w:rPr>
            </w:pPr>
            <w:r>
              <w:rPr>
                <w:rFonts w:hint="eastAsia" w:ascii="Times New Roman" w:hAnsi="Times New Roman" w:eastAsia="Times New Roman" w:cstheme="minorBidi"/>
                <w:szCs w:val="21"/>
              </w:rPr>
              <w:t>25万至40万</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180"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金融科技岗</w:t>
            </w:r>
          </w:p>
        </w:tc>
        <w:tc>
          <w:tcPr>
            <w:tcW w:w="2180" w:type="dxa"/>
            <w:vAlign w:val="center"/>
          </w:tcPr>
          <w:p>
            <w:pPr>
              <w:spacing w:line="360" w:lineRule="auto"/>
              <w:jc w:val="center"/>
              <w:rPr>
                <w:rFonts w:ascii="Times New Roman" w:hAnsi="Times New Roman" w:eastAsia="Times New Roman" w:cstheme="minorBidi"/>
                <w:szCs w:val="21"/>
              </w:rPr>
            </w:pPr>
            <w:r>
              <w:rPr>
                <w:rFonts w:hint="eastAsia" w:ascii="Times New Roman" w:hAnsi="Times New Roman" w:eastAsia="Times New Roman" w:cstheme="minorBidi"/>
                <w:szCs w:val="21"/>
              </w:rPr>
              <w:t>10万至15万</w:t>
            </w:r>
          </w:p>
        </w:tc>
        <w:tc>
          <w:tcPr>
            <w:tcW w:w="2677" w:type="dxa"/>
            <w:vAlign w:val="center"/>
          </w:tcPr>
          <w:p>
            <w:pPr>
              <w:spacing w:line="360" w:lineRule="auto"/>
              <w:jc w:val="center"/>
              <w:rPr>
                <w:rFonts w:ascii="Times New Roman" w:hAnsi="Times New Roman" w:eastAsia="Times New Roman" w:cstheme="minorBidi"/>
                <w:szCs w:val="21"/>
              </w:rPr>
            </w:pPr>
            <w:r>
              <w:rPr>
                <w:rFonts w:hint="eastAsia" w:ascii="Times New Roman" w:hAnsi="Times New Roman" w:eastAsia="Times New Roman" w:cstheme="minorBidi"/>
                <w:szCs w:val="21"/>
              </w:rPr>
              <w:t>18万至30万</w:t>
            </w:r>
          </w:p>
        </w:tc>
        <w:tc>
          <w:tcPr>
            <w:tcW w:w="2180" w:type="dxa"/>
            <w:vAlign w:val="center"/>
          </w:tcPr>
          <w:p>
            <w:pPr>
              <w:spacing w:line="360" w:lineRule="auto"/>
              <w:jc w:val="center"/>
              <w:rPr>
                <w:rFonts w:ascii="Times New Roman" w:hAnsi="Times New Roman" w:eastAsia="Times New Roman" w:cstheme="minorBidi"/>
                <w:szCs w:val="21"/>
              </w:rPr>
            </w:pPr>
            <w:r>
              <w:rPr>
                <w:rFonts w:hint="eastAsia" w:ascii="Times New Roman" w:hAnsi="Times New Roman" w:eastAsia="Times New Roman" w:cstheme="minorBidi"/>
                <w:szCs w:val="21"/>
              </w:rPr>
              <w:t>30万至50万</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1" w:hRule="atLeast"/>
        </w:trPr>
        <w:tc>
          <w:tcPr>
            <w:tcW w:w="2180" w:type="dxa"/>
            <w:vAlign w:val="center"/>
          </w:tcPr>
          <w:p>
            <w:pPr>
              <w:spacing w:line="360" w:lineRule="auto"/>
              <w:jc w:val="center"/>
              <w:rPr>
                <w:rFonts w:ascii="Times New Roman" w:hAnsi="Times New Roman" w:eastAsia="Times New Roman" w:cstheme="minorBidi"/>
                <w:szCs w:val="21"/>
              </w:rPr>
            </w:pPr>
            <w:r>
              <w:rPr>
                <w:rFonts w:ascii="Times New Roman" w:hAnsi="Times New Roman" w:eastAsia="Times New Roman" w:cstheme="minorBidi"/>
                <w:szCs w:val="21"/>
              </w:rPr>
              <w:t>数字化咨询</w:t>
            </w:r>
          </w:p>
        </w:tc>
        <w:tc>
          <w:tcPr>
            <w:tcW w:w="2180" w:type="dxa"/>
            <w:vAlign w:val="center"/>
          </w:tcPr>
          <w:p>
            <w:pPr>
              <w:spacing w:line="360" w:lineRule="auto"/>
              <w:jc w:val="center"/>
              <w:rPr>
                <w:rFonts w:ascii="Times New Roman" w:hAnsi="Times New Roman" w:eastAsia="Times New Roman" w:cstheme="minorBidi"/>
                <w:szCs w:val="21"/>
              </w:rPr>
            </w:pPr>
            <w:r>
              <w:rPr>
                <w:rFonts w:hint="eastAsia" w:ascii="Times New Roman" w:hAnsi="Times New Roman" w:eastAsia="Times New Roman" w:cstheme="minorBidi"/>
                <w:szCs w:val="21"/>
              </w:rPr>
              <w:t>8万至12万</w:t>
            </w:r>
          </w:p>
        </w:tc>
        <w:tc>
          <w:tcPr>
            <w:tcW w:w="2677" w:type="dxa"/>
            <w:vAlign w:val="center"/>
          </w:tcPr>
          <w:p>
            <w:pPr>
              <w:spacing w:line="360" w:lineRule="auto"/>
              <w:jc w:val="center"/>
              <w:rPr>
                <w:rFonts w:ascii="Times New Roman" w:hAnsi="Times New Roman" w:eastAsia="Times New Roman" w:cstheme="minorBidi"/>
                <w:szCs w:val="21"/>
              </w:rPr>
            </w:pPr>
            <w:r>
              <w:rPr>
                <w:rFonts w:hint="eastAsia" w:ascii="Times New Roman" w:hAnsi="Times New Roman" w:eastAsia="Times New Roman" w:cstheme="minorBidi"/>
                <w:szCs w:val="21"/>
              </w:rPr>
              <w:t>12万至20万</w:t>
            </w:r>
          </w:p>
        </w:tc>
        <w:tc>
          <w:tcPr>
            <w:tcW w:w="2180" w:type="dxa"/>
            <w:vAlign w:val="center"/>
          </w:tcPr>
          <w:p>
            <w:pPr>
              <w:spacing w:line="360" w:lineRule="auto"/>
              <w:jc w:val="center"/>
              <w:rPr>
                <w:rFonts w:ascii="Times New Roman" w:hAnsi="Times New Roman" w:eastAsia="Times New Roman" w:cstheme="minorBidi"/>
                <w:szCs w:val="21"/>
              </w:rPr>
            </w:pPr>
            <w:r>
              <w:rPr>
                <w:rFonts w:hint="eastAsia" w:ascii="Times New Roman" w:hAnsi="Times New Roman" w:eastAsia="Times New Roman" w:cstheme="minorBidi"/>
                <w:szCs w:val="21"/>
              </w:rPr>
              <w:t>25万至45万</w:t>
            </w:r>
          </w:p>
        </w:tc>
      </w:tr>
    </w:tbl>
    <w:p>
      <w:pPr>
        <w:spacing w:line="360" w:lineRule="auto"/>
        <w:ind w:firstLine="420" w:firstLineChars="200"/>
        <w:rPr>
          <w:rFonts w:ascii="Times New Roman" w:hAnsi="Times New Roman"/>
          <w:szCs w:val="21"/>
        </w:rPr>
      </w:pPr>
      <w:r>
        <w:rPr>
          <w:rFonts w:ascii="Times New Roman" w:hAnsi="Times New Roman"/>
          <w:szCs w:val="21"/>
        </w:rPr>
        <w:t>注：表中薪资为根据公开招聘平台和行业报告整理的市场化岗位区间估算，受地区、企业类型、岗位职责和个人能力影响较大，仅用于反映不同岗位的大致薪酬水平。</w:t>
      </w:r>
    </w:p>
    <w:p>
      <w:pPr>
        <w:spacing w:line="360" w:lineRule="auto"/>
        <w:ind w:firstLine="480" w:firstLineChars="200"/>
        <w:rPr>
          <w:rFonts w:ascii="Times New Roman" w:hAnsi="Times New Roman"/>
          <w:sz w:val="24"/>
        </w:rPr>
      </w:pPr>
    </w:p>
    <w:p>
      <w:pPr>
        <w:pStyle w:val="4"/>
        <w:spacing w:line="360" w:lineRule="auto"/>
        <w:ind w:firstLine="482"/>
        <w:rPr>
          <w:rFonts w:cs="Times New Roman"/>
          <w:sz w:val="24"/>
          <w:szCs w:val="24"/>
        </w:rPr>
      </w:pPr>
      <w:bookmarkStart w:id="110" w:name="_Toc19082"/>
      <w:bookmarkStart w:id="111" w:name="_Toc29529"/>
      <w:bookmarkStart w:id="112" w:name="_Toc230619176"/>
      <w:bookmarkStart w:id="113" w:name="_Toc230546470"/>
      <w:r>
        <w:rPr>
          <w:rFonts w:cs="Times New Roman"/>
          <w:sz w:val="24"/>
          <w:szCs w:val="24"/>
        </w:rPr>
        <w:t>6.3 就业留存：特色人才有效缓解外流</w:t>
      </w:r>
      <w:bookmarkEnd w:id="110"/>
      <w:bookmarkEnd w:id="111"/>
      <w:bookmarkEnd w:id="112"/>
    </w:p>
    <w:p>
      <w:pPr>
        <w:spacing w:line="360" w:lineRule="auto"/>
        <w:ind w:firstLine="480"/>
        <w:rPr>
          <w:rFonts w:ascii="Times New Roman" w:hAnsi="Times New Roman"/>
          <w:sz w:val="24"/>
        </w:rPr>
      </w:pPr>
      <w:r>
        <w:rPr>
          <w:rFonts w:ascii="Times New Roman" w:hAnsi="Times New Roman"/>
          <w:sz w:val="24"/>
        </w:rPr>
        <w:t>面向东盟的复合型人才因技能的区域专属性，在广西本地就业的意愿明显高于通用型数字人才。我校培养的数字经贸+东盟合作特色人才，其技能组合（东盟市场知识+跨境电商运营+小语种能力）在广西本土企业中能够发挥最大价值，而在区外市场的差异化优势相对有限，因此具备天然的本地留存倾向，</w:t>
      </w:r>
      <w:r>
        <w:rPr>
          <w:rFonts w:ascii="Times New Roman" w:hAnsi="Times New Roman"/>
          <w:b/>
          <w:bCs/>
          <w:sz w:val="24"/>
        </w:rPr>
        <w:t>有望有效缓解广西数字人才外流问题。</w:t>
      </w:r>
      <w:r>
        <w:rPr>
          <w:rFonts w:ascii="Times New Roman" w:hAnsi="Times New Roman"/>
          <w:sz w:val="24"/>
        </w:rPr>
        <w:t>如图4所示，广西IT/技术类人才供求比持续抬升，反映出区域数字人才市场竞争加剧，也凸显本地高校培养复合型人才的紧迫性。</w:t>
      </w:r>
    </w:p>
    <w:p>
      <w:pPr>
        <w:spacing w:line="360" w:lineRule="auto"/>
        <w:jc w:val="center"/>
        <w:rPr>
          <w:rFonts w:ascii="Times New Roman" w:hAnsi="Times New Roman"/>
          <w:sz w:val="24"/>
        </w:rPr>
      </w:pPr>
      <w:r>
        <w:rPr>
          <w:rFonts w:ascii="Times New Roman" w:hAnsi="Times New Roman"/>
          <w:sz w:val="24"/>
        </w:rPr>
        <w:drawing>
          <wp:inline distT="0" distB="0" distL="114300" distR="114300">
            <wp:extent cx="4679950" cy="2392680"/>
            <wp:effectExtent l="0" t="0" r="6350" b="7620"/>
            <wp:docPr id="585144464" name="图片 585144464" descr="图4_广西人才供求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144464" name="图片 585144464" descr="图4_广西人才供求比"/>
                    <pic:cNvPicPr>
                      <a:picLocks noChangeAspect="1"/>
                    </pic:cNvPicPr>
                  </pic:nvPicPr>
                  <pic:blipFill>
                    <a:blip r:embed="rId21"/>
                    <a:stretch>
                      <a:fillRect/>
                    </a:stretch>
                  </pic:blipFill>
                  <pic:spPr>
                    <a:xfrm>
                      <a:off x="0" y="0"/>
                      <a:ext cx="4680000" cy="2393021"/>
                    </a:xfrm>
                    <a:prstGeom prst="rect">
                      <a:avLst/>
                    </a:prstGeom>
                  </pic:spPr>
                </pic:pic>
              </a:graphicData>
            </a:graphic>
          </wp:inline>
        </w:drawing>
      </w:r>
    </w:p>
    <w:p>
      <w:pPr>
        <w:spacing w:line="360" w:lineRule="auto"/>
        <w:jc w:val="center"/>
        <w:rPr>
          <w:rFonts w:ascii="Times New Roman" w:hAnsi="Times New Roman"/>
          <w:sz w:val="24"/>
        </w:rPr>
      </w:pPr>
      <w:r>
        <w:rPr>
          <w:rFonts w:ascii="Times New Roman" w:hAnsi="Times New Roman"/>
          <w:sz w:val="24"/>
        </w:rPr>
        <w:t>图4 2022</w:t>
      </w:r>
      <w:r>
        <w:rPr>
          <w:rFonts w:hint="eastAsia" w:ascii="Times New Roman" w:hAnsi="Times New Roman"/>
          <w:sz w:val="24"/>
        </w:rPr>
        <w:t>—</w:t>
      </w:r>
      <w:r>
        <w:rPr>
          <w:rFonts w:ascii="Times New Roman" w:hAnsi="Times New Roman"/>
          <w:sz w:val="24"/>
        </w:rPr>
        <w:t>2024年广西IT/技术类人才供求比变化图</w:t>
      </w:r>
    </w:p>
    <w:p>
      <w:pPr>
        <w:spacing w:line="360" w:lineRule="auto"/>
        <w:jc w:val="center"/>
        <w:rPr>
          <w:rFonts w:ascii="Times New Roman" w:hAnsi="Times New Roman"/>
          <w:szCs w:val="21"/>
        </w:rPr>
      </w:pPr>
      <w:r>
        <w:rPr>
          <w:rFonts w:ascii="Times New Roman" w:hAnsi="Times New Roman"/>
          <w:szCs w:val="21"/>
        </w:rPr>
        <w:t>资料来源：广西人才网《2024年广西人才网人才供需情况分析报告》整理。</w:t>
      </w:r>
    </w:p>
    <w:p>
      <w:pPr>
        <w:pStyle w:val="4"/>
        <w:spacing w:line="360" w:lineRule="auto"/>
        <w:ind w:firstLine="482"/>
        <w:rPr>
          <w:rFonts w:cs="Times New Roman"/>
          <w:sz w:val="24"/>
          <w:szCs w:val="24"/>
        </w:rPr>
      </w:pPr>
      <w:bookmarkStart w:id="114" w:name="_Toc9174"/>
      <w:bookmarkStart w:id="115" w:name="_Toc18735"/>
      <w:bookmarkStart w:id="116" w:name="_Toc230619177"/>
      <w:r>
        <w:rPr>
          <w:rFonts w:cs="Times New Roman"/>
          <w:sz w:val="24"/>
          <w:szCs w:val="24"/>
        </w:rPr>
        <w:t>6.4 职业发展空间</w:t>
      </w:r>
      <w:bookmarkEnd w:id="114"/>
      <w:bookmarkEnd w:id="115"/>
      <w:bookmarkEnd w:id="116"/>
    </w:p>
    <w:p>
      <w:pPr>
        <w:spacing w:line="360" w:lineRule="auto"/>
        <w:ind w:firstLine="480" w:firstLineChars="200"/>
        <w:rPr>
          <w:rFonts w:ascii="Times New Roman" w:hAnsi="Times New Roman"/>
          <w:sz w:val="24"/>
        </w:rPr>
      </w:pPr>
      <w:r>
        <w:rPr>
          <w:rFonts w:ascii="Times New Roman" w:hAnsi="Times New Roman"/>
          <w:sz w:val="24"/>
        </w:rPr>
        <w:t>数字经济专业毕业生的职业发展空间主要体现在复合能力的持续提升和岗位方向的多元拓展。初入职场阶段，毕业生可从跨境电商运营助理、数据分析助理、数字营销专员、金融科技业务助理、产业数字化项目助理等岗位起步，逐步积累平台运营、数据处理、行业分析和项目执行经验。经过三至五年的岗位锻炼后，可进一步成长为数据分析师、跨境电商运营主管、数字金融产品经理、产业数字化项目经理、企业数字化转型顾问等复合型岗位人才。</w:t>
      </w:r>
    </w:p>
    <w:p>
      <w:pPr>
        <w:spacing w:line="360" w:lineRule="auto"/>
        <w:ind w:firstLine="480" w:firstLineChars="200"/>
        <w:rPr>
          <w:rFonts w:ascii="Times New Roman" w:hAnsi="Times New Roman"/>
          <w:sz w:val="24"/>
        </w:rPr>
      </w:pPr>
      <w:r>
        <w:rPr>
          <w:rFonts w:ascii="Times New Roman" w:hAnsi="Times New Roman"/>
          <w:sz w:val="24"/>
        </w:rPr>
        <w:t>从中长期发展看，毕业生既可以沿着专业技术和业务分析方向发展，提升数据分析、商业智能、数字贸易规则和数据治理能力；也可以沿着运营管理和项目管理方向发展，承担平台运营、市场拓展、数字化转型项目管理等工作。依托广西面向东盟开放合作的区位优势，具备东盟市场理解、跨境电商运营和数据分析能力的学生，还可在中国—东盟数字贸易、跨境平台运营、多语言数据服务等领域形成差异化竞争力。部分具备资源整合和创业意识的毕业生，也可依托跨境电商平台、数据服务平台和数字化工具开展创新创业实践。</w:t>
      </w:r>
    </w:p>
    <w:p>
      <w:pPr>
        <w:spacing w:line="360" w:lineRule="auto"/>
        <w:ind w:firstLine="480" w:firstLineChars="200"/>
        <w:rPr>
          <w:rFonts w:ascii="Times New Roman" w:hAnsi="Times New Roman"/>
          <w:sz w:val="24"/>
        </w:rPr>
      </w:pPr>
    </w:p>
    <w:bookmarkEnd w:id="113"/>
    <w:p>
      <w:pPr>
        <w:pStyle w:val="3"/>
        <w:spacing w:before="120" w:beforeLines="50" w:after="120" w:afterLines="50"/>
        <w:jc w:val="center"/>
        <w:rPr>
          <w:rFonts w:ascii="Times New Roman" w:hAnsi="Times New Roman" w:cs="Times New Roman"/>
          <w:sz w:val="24"/>
          <w:szCs w:val="24"/>
        </w:rPr>
      </w:pPr>
      <w:bookmarkStart w:id="117" w:name="_Toc230619178"/>
      <w:bookmarkStart w:id="118" w:name="_Toc2841"/>
      <w:bookmarkStart w:id="119" w:name="_Toc11376"/>
      <w:bookmarkStart w:id="120" w:name="_Toc230546475"/>
      <w:r>
        <w:rPr>
          <w:rFonts w:ascii="Times New Roman" w:hAnsi="Times New Roman" w:cs="Times New Roman"/>
          <w:sz w:val="24"/>
          <w:szCs w:val="24"/>
        </w:rPr>
        <w:t>七、总结</w:t>
      </w:r>
      <w:bookmarkEnd w:id="117"/>
      <w:bookmarkEnd w:id="118"/>
      <w:bookmarkEnd w:id="119"/>
      <w:bookmarkEnd w:id="120"/>
    </w:p>
    <w:p>
      <w:pPr>
        <w:spacing w:line="360" w:lineRule="auto"/>
        <w:ind w:firstLine="480" w:firstLineChars="200"/>
        <w:rPr>
          <w:rFonts w:ascii="Times New Roman" w:hAnsi="Times New Roman"/>
          <w:sz w:val="24"/>
        </w:rPr>
      </w:pPr>
      <w:r>
        <w:rPr>
          <w:rFonts w:ascii="Times New Roman" w:hAnsi="Times New Roman"/>
          <w:sz w:val="24"/>
        </w:rPr>
        <w:t>综合调研情况看，设置数字经济本科专业符合国家数字经济发展和新文科建设方向，契合广西面向东盟开放合作、数字经济发展和产业数字化转型需要，也符合广西师范大学经济管理学院优化专业结构、服务地方经济社会发展的现实要求。当前，数字经济正加快融入贸易、金融、制造、农业、文旅和公共治理等领域，广西依托</w:t>
      </w:r>
      <w:r>
        <w:rPr>
          <w:rFonts w:hint="eastAsia" w:ascii="Times New Roman" w:hAnsi="Times New Roman"/>
          <w:sz w:val="24"/>
        </w:rPr>
        <w:t>中国—东盟</w:t>
      </w:r>
      <w:r>
        <w:rPr>
          <w:rFonts w:ascii="Times New Roman" w:hAnsi="Times New Roman"/>
          <w:sz w:val="24"/>
        </w:rPr>
        <w:t>信息港、广西自贸试验区、跨境电商综合试验区和面向东盟的金融开放门户，已形成跨境电商、数字金融、智慧物流、数字文旅、多语言数据服务等特色应用场景，为数字经济专业人才培养提供了丰富的产业基础和实践空间。</w:t>
      </w:r>
    </w:p>
    <w:p>
      <w:pPr>
        <w:spacing w:line="360" w:lineRule="auto"/>
        <w:ind w:firstLine="480" w:firstLineChars="200"/>
        <w:rPr>
          <w:rFonts w:ascii="Times New Roman" w:hAnsi="Times New Roman"/>
          <w:sz w:val="24"/>
        </w:rPr>
      </w:pPr>
      <w:r>
        <w:rPr>
          <w:rFonts w:ascii="Times New Roman" w:hAnsi="Times New Roman"/>
          <w:sz w:val="24"/>
        </w:rPr>
        <w:t>从办学基础看，广西师范大学经济管理学院具有较好的学科积累和专业建设条件。学院依托经济学、工商管理等国家级一流本科专业建设点，具备理论经济学、工商管理等学科支撑，并可整合广西数字赋能经济发展重点实验室、校企实践基地以及学校各类平台资源，为数字经济专业建设提供课程、师资、科研和实践支撑。在区内同类专业布局逐步展开的背景下，学校具备形成“经济学基础+数字技术工具+东盟应用场景”培养特色的条件。</w:t>
      </w:r>
    </w:p>
    <w:p>
      <w:pPr>
        <w:spacing w:line="360" w:lineRule="auto"/>
        <w:ind w:firstLine="480" w:firstLineChars="200"/>
        <w:rPr>
          <w:rFonts w:ascii="Times New Roman" w:hAnsi="Times New Roman"/>
          <w:sz w:val="24"/>
        </w:rPr>
      </w:pPr>
      <w:r>
        <w:rPr>
          <w:rFonts w:ascii="Times New Roman" w:hAnsi="Times New Roman"/>
          <w:sz w:val="24"/>
        </w:rPr>
        <w:t>从人才培养定位看，拟设数字经济专业可立足经济学门类，面向数字贸易、数字金融、产业数字化、平台运营、数据治理和跨境数字经济等方向，培养兼具经济学理论基础、数据分析能力、数字平台理解能力、跨境数字贸易知识和东盟区域理解的复合型、应用型人才。专业建设可通过优化课程体系、强化实践教学、推进产教融合和校内跨学科协同，形成与广西区域产业需求和</w:t>
      </w:r>
      <w:r>
        <w:rPr>
          <w:rFonts w:hint="eastAsia" w:ascii="Times New Roman" w:hAnsi="Times New Roman"/>
          <w:sz w:val="24"/>
        </w:rPr>
        <w:t>办学特色</w:t>
      </w:r>
      <w:r>
        <w:rPr>
          <w:rFonts w:ascii="Times New Roman" w:hAnsi="Times New Roman"/>
          <w:sz w:val="24"/>
        </w:rPr>
        <w:t>相匹配的人才培养模式。总体来看，广西师范大学经济管理学院设置数字经济本科专业具有较强的政策契合度、区域适应性和办学可行性，对推动经济学科数字化转型、服务广西数字经济发展和深化</w:t>
      </w:r>
      <w:r>
        <w:rPr>
          <w:rFonts w:hint="eastAsia" w:ascii="Times New Roman" w:hAnsi="Times New Roman"/>
          <w:sz w:val="24"/>
        </w:rPr>
        <w:t>中国—东盟</w:t>
      </w:r>
      <w:r>
        <w:rPr>
          <w:rFonts w:ascii="Times New Roman" w:hAnsi="Times New Roman"/>
          <w:sz w:val="24"/>
        </w:rPr>
        <w:t>数字经贸合作具有积极意义。</w:t>
      </w:r>
    </w:p>
    <w:p>
      <w:pPr>
        <w:widowControl/>
        <w:jc w:val="left"/>
        <w:rPr>
          <w:rFonts w:hint="eastAsia" w:ascii="宋体" w:hAnsi="宋体"/>
          <w:kern w:val="0"/>
          <w:sz w:val="22"/>
          <w:szCs w:val="22"/>
          <w:lang w:bidi="zh-CN"/>
        </w:rPr>
      </w:pPr>
    </w:p>
    <w:p>
      <w:pPr>
        <w:widowControl/>
        <w:jc w:val="left"/>
        <w:rPr>
          <w:rFonts w:hint="eastAsia" w:ascii="宋体" w:hAnsi="宋体"/>
          <w:kern w:val="0"/>
          <w:sz w:val="22"/>
          <w:szCs w:val="22"/>
          <w:lang w:bidi="zh-CN"/>
        </w:rPr>
      </w:pPr>
    </w:p>
    <w:p>
      <w:pPr>
        <w:widowControl/>
        <w:jc w:val="left"/>
        <w:rPr>
          <w:rFonts w:hint="eastAsia" w:ascii="宋体" w:hAnsi="宋体"/>
          <w:kern w:val="0"/>
          <w:sz w:val="22"/>
          <w:szCs w:val="22"/>
          <w:lang w:bidi="zh-CN"/>
        </w:rPr>
      </w:pPr>
    </w:p>
    <w:p>
      <w:pPr>
        <w:widowControl/>
        <w:jc w:val="left"/>
        <w:rPr>
          <w:rFonts w:hint="eastAsia" w:ascii="宋体" w:hAnsi="宋体"/>
          <w:kern w:val="0"/>
          <w:sz w:val="22"/>
          <w:szCs w:val="22"/>
          <w:lang w:bidi="zh-CN"/>
        </w:rPr>
      </w:pPr>
    </w:p>
    <w:p>
      <w:pPr>
        <w:widowControl/>
        <w:jc w:val="left"/>
        <w:rPr>
          <w:rFonts w:hint="eastAsia" w:ascii="宋体" w:hAnsi="宋体"/>
          <w:kern w:val="0"/>
          <w:sz w:val="22"/>
          <w:szCs w:val="22"/>
          <w:lang w:bidi="zh-CN"/>
        </w:rPr>
      </w:pPr>
    </w:p>
    <w:p>
      <w:pPr>
        <w:widowControl/>
        <w:jc w:val="left"/>
        <w:rPr>
          <w:rFonts w:hint="eastAsia" w:ascii="宋体" w:hAnsi="宋体"/>
          <w:kern w:val="0"/>
          <w:sz w:val="22"/>
          <w:szCs w:val="22"/>
          <w:lang w:bidi="zh-CN"/>
        </w:rPr>
      </w:pPr>
    </w:p>
    <w:p>
      <w:pPr>
        <w:autoSpaceDE w:val="0"/>
        <w:autoSpaceDN w:val="0"/>
        <w:spacing w:line="400" w:lineRule="exact"/>
        <w:jc w:val="center"/>
        <w:rPr>
          <w:rFonts w:hint="eastAsia" w:ascii="宋体" w:hAnsi="宋体"/>
          <w:kern w:val="0"/>
          <w:sz w:val="22"/>
          <w:szCs w:val="22"/>
          <w:lang w:bidi="zh-CN"/>
        </w:rPr>
      </w:pPr>
    </w:p>
    <w:p>
      <w:pPr>
        <w:autoSpaceDE w:val="0"/>
        <w:autoSpaceDN w:val="0"/>
        <w:spacing w:line="400" w:lineRule="exact"/>
        <w:jc w:val="center"/>
        <w:rPr>
          <w:rFonts w:hint="eastAsia" w:ascii="黑体" w:hAnsi="黑体" w:eastAsia="黑体" w:cs="黑体"/>
          <w:kern w:val="0"/>
          <w:sz w:val="32"/>
          <w:szCs w:val="32"/>
          <w:lang w:val="zh-CN" w:bidi="zh-CN"/>
        </w:rPr>
      </w:pPr>
      <w:r>
        <w:rPr>
          <w:rFonts w:hint="eastAsia" w:ascii="黑体" w:hAnsi="黑体" w:eastAsia="黑体" w:cs="黑体"/>
          <w:kern w:val="0"/>
          <w:sz w:val="32"/>
          <w:szCs w:val="32"/>
          <w:lang w:bidi="zh-CN"/>
        </w:rPr>
        <w:t>5.</w:t>
      </w:r>
      <w:r>
        <w:rPr>
          <w:rFonts w:ascii="黑体" w:hAnsi="黑体" w:eastAsia="黑体" w:cs="黑体"/>
          <w:kern w:val="0"/>
          <w:sz w:val="32"/>
          <w:szCs w:val="32"/>
          <w:lang w:val="zh-CN" w:bidi="zh-CN"/>
        </w:rPr>
        <w:t>教师及课程基本情况表</w:t>
      </w:r>
    </w:p>
    <w:p>
      <w:pPr>
        <w:tabs>
          <w:tab w:val="left" w:pos="714"/>
        </w:tabs>
        <w:autoSpaceDE w:val="0"/>
        <w:autoSpaceDN w:val="0"/>
        <w:spacing w:line="484" w:lineRule="exact"/>
        <w:rPr>
          <w:rFonts w:hint="eastAsia" w:ascii="宋体" w:hAnsi="宋体"/>
          <w:kern w:val="0"/>
          <w:sz w:val="24"/>
          <w:szCs w:val="22"/>
          <w:lang w:val="zh-CN" w:bidi="zh-CN"/>
        </w:rPr>
      </w:pPr>
      <w:r>
        <w:rPr>
          <w:rFonts w:hint="eastAsia" w:ascii="Times New Roman" w:hAnsi="Times New Roman"/>
          <w:kern w:val="0"/>
          <w:sz w:val="28"/>
          <w:szCs w:val="22"/>
          <w:lang w:bidi="zh-CN"/>
        </w:rPr>
        <w:t>5</w:t>
      </w:r>
      <w:r>
        <w:rPr>
          <w:rFonts w:ascii="宋体" w:hAnsi="宋体"/>
          <w:kern w:val="0"/>
          <w:sz w:val="28"/>
          <w:szCs w:val="22"/>
          <w:lang w:val="zh-CN" w:bidi="zh-CN"/>
        </w:rPr>
        <w:t>.</w:t>
      </w:r>
      <w:r>
        <w:rPr>
          <w:rFonts w:ascii="Times New Roman" w:hAnsi="Times New Roman"/>
          <w:kern w:val="0"/>
          <w:sz w:val="28"/>
          <w:szCs w:val="22"/>
          <w:lang w:val="zh-CN" w:bidi="zh-CN"/>
        </w:rPr>
        <w:t>1</w:t>
      </w:r>
      <w:r>
        <w:rPr>
          <w:rFonts w:ascii="宋体" w:hAnsi="宋体"/>
          <w:kern w:val="0"/>
          <w:sz w:val="28"/>
          <w:szCs w:val="22"/>
          <w:lang w:val="zh-CN" w:bidi="zh-CN"/>
        </w:rPr>
        <w:t>教师及开课情况汇总表</w:t>
      </w:r>
    </w:p>
    <w:p>
      <w:pPr>
        <w:autoSpaceDE w:val="0"/>
        <w:autoSpaceDN w:val="0"/>
        <w:spacing w:before="4"/>
        <w:jc w:val="left"/>
        <w:rPr>
          <w:rFonts w:eastAsia="仿宋_GB2312"/>
          <w:kern w:val="0"/>
          <w:sz w:val="5"/>
          <w:szCs w:val="22"/>
          <w:lang w:val="zh-CN" w:bidi="zh-CN"/>
        </w:rPr>
      </w:pPr>
    </w:p>
    <w:tbl>
      <w:tblPr>
        <w:tblStyle w:val="40"/>
        <w:tblW w:w="96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05"/>
        <w:gridCol w:w="2027"/>
        <w:gridCol w:w="20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5605" w:type="dxa"/>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ascii="Times New Roman" w:hAnsi="Times New Roman"/>
                <w:color w:val="000000" w:themeColor="text1"/>
                <w:kern w:val="0"/>
                <w:sz w:val="24"/>
                <w:szCs w:val="22"/>
                <w:lang w:val="zh-CN" w:bidi="zh-CN"/>
                <w14:textFill>
                  <w14:solidFill>
                    <w14:schemeClr w14:val="tx1"/>
                  </w14:solidFill>
                </w14:textFill>
              </w:rPr>
              <w:t>专任教师总数</w:t>
            </w:r>
          </w:p>
        </w:tc>
        <w:tc>
          <w:tcPr>
            <w:tcW w:w="4054" w:type="dxa"/>
            <w:gridSpan w:val="2"/>
            <w:vAlign w:val="center"/>
          </w:tcPr>
          <w:p>
            <w:pPr>
              <w:autoSpaceDE w:val="0"/>
              <w:autoSpaceDN w:val="0"/>
              <w:jc w:val="center"/>
              <w:rPr>
                <w:rFonts w:ascii="Times New Roman" w:hAnsi="Times New Roman"/>
                <w:color w:val="000000" w:themeColor="text1"/>
                <w:kern w:val="0"/>
                <w:sz w:val="24"/>
                <w:szCs w:val="22"/>
                <w:lang w:bidi="zh-CN"/>
                <w14:textFill>
                  <w14:solidFill>
                    <w14:schemeClr w14:val="tx1"/>
                  </w14:solidFill>
                </w14:textFill>
              </w:rPr>
            </w:pPr>
            <w:r>
              <w:rPr>
                <w:rFonts w:ascii="Times New Roman" w:hAnsi="Times New Roman"/>
                <w:color w:val="000000" w:themeColor="text1"/>
                <w:kern w:val="0"/>
                <w:sz w:val="24"/>
                <w:szCs w:val="22"/>
                <w:lang w:bidi="zh-CN"/>
                <w14:textFill>
                  <w14:solidFill>
                    <w14:schemeClr w14:val="tx1"/>
                  </w14:solidFill>
                </w14:textFill>
              </w:rPr>
              <w:t>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5605" w:type="dxa"/>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ascii="Times New Roman" w:hAnsi="Times New Roman"/>
                <w:color w:val="000000" w:themeColor="text1"/>
                <w:kern w:val="0"/>
                <w:sz w:val="24"/>
                <w:szCs w:val="22"/>
                <w:lang w:val="zh-CN" w:bidi="zh-CN"/>
                <w14:textFill>
                  <w14:solidFill>
                    <w14:schemeClr w14:val="tx1"/>
                  </w14:solidFill>
                </w14:textFill>
              </w:rPr>
              <w:t>具有教授（含其他正高级）职称教师数及比例</w:t>
            </w:r>
          </w:p>
        </w:tc>
        <w:tc>
          <w:tcPr>
            <w:tcW w:w="2027" w:type="dxa"/>
            <w:vAlign w:val="center"/>
          </w:tcPr>
          <w:p>
            <w:pPr>
              <w:autoSpaceDE w:val="0"/>
              <w:autoSpaceDN w:val="0"/>
              <w:jc w:val="center"/>
              <w:rPr>
                <w:rFonts w:ascii="Times New Roman" w:hAnsi="Times New Roman"/>
                <w:color w:val="000000" w:themeColor="text1"/>
                <w:kern w:val="0"/>
                <w:sz w:val="24"/>
                <w:szCs w:val="22"/>
                <w:lang w:bidi="zh-CN"/>
                <w14:textFill>
                  <w14:solidFill>
                    <w14:schemeClr w14:val="tx1"/>
                  </w14:solidFill>
                </w14:textFill>
              </w:rPr>
            </w:pPr>
            <w:r>
              <w:rPr>
                <w:rFonts w:ascii="Times New Roman" w:hAnsi="Times New Roman"/>
                <w:color w:val="000000" w:themeColor="text1"/>
                <w:kern w:val="0"/>
                <w:sz w:val="24"/>
                <w:szCs w:val="22"/>
                <w:lang w:bidi="zh-CN"/>
                <w14:textFill>
                  <w14:solidFill>
                    <w14:schemeClr w14:val="tx1"/>
                  </w14:solidFill>
                </w14:textFill>
              </w:rPr>
              <w:t>9</w:t>
            </w:r>
          </w:p>
        </w:tc>
        <w:tc>
          <w:tcPr>
            <w:tcW w:w="2027" w:type="dxa"/>
            <w:vAlign w:val="center"/>
          </w:tcPr>
          <w:p>
            <w:pPr>
              <w:autoSpaceDE w:val="0"/>
              <w:autoSpaceDN w:val="0"/>
              <w:jc w:val="center"/>
              <w:rPr>
                <w:rFonts w:ascii="Times New Roman" w:hAnsi="Times New Roman"/>
                <w:color w:val="000000" w:themeColor="text1"/>
                <w:kern w:val="0"/>
                <w:sz w:val="24"/>
                <w:szCs w:val="22"/>
                <w:lang w:bidi="zh-CN"/>
                <w14:textFill>
                  <w14:solidFill>
                    <w14:schemeClr w14:val="tx1"/>
                  </w14:solidFill>
                </w14:textFill>
              </w:rPr>
            </w:pPr>
            <w:r>
              <w:rPr>
                <w:rFonts w:ascii="Times New Roman" w:hAnsi="Times New Roman"/>
                <w:color w:val="000000" w:themeColor="text1"/>
                <w:kern w:val="0"/>
                <w:sz w:val="24"/>
                <w:szCs w:val="22"/>
                <w:lang w:bidi="zh-CN"/>
                <w14:textFill>
                  <w14:solidFill>
                    <w14:schemeClr w14:val="tx1"/>
                  </w14:solidFill>
                </w14:textFill>
              </w:rPr>
              <w:t>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5605" w:type="dxa"/>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ascii="Times New Roman" w:hAnsi="Times New Roman"/>
                <w:color w:val="000000" w:themeColor="text1"/>
                <w:kern w:val="0"/>
                <w:sz w:val="24"/>
                <w:szCs w:val="22"/>
                <w:lang w:val="zh-CN" w:bidi="zh-CN"/>
                <w14:textFill>
                  <w14:solidFill>
                    <w14:schemeClr w14:val="tx1"/>
                  </w14:solidFill>
                </w14:textFill>
              </w:rPr>
              <w:t>具有副教授以上（含其他副高级）职称教师数及比例</w:t>
            </w:r>
          </w:p>
        </w:tc>
        <w:tc>
          <w:tcPr>
            <w:tcW w:w="2027" w:type="dxa"/>
            <w:vAlign w:val="center"/>
          </w:tcPr>
          <w:p>
            <w:pPr>
              <w:autoSpaceDE w:val="0"/>
              <w:autoSpaceDN w:val="0"/>
              <w:jc w:val="center"/>
              <w:rPr>
                <w:rFonts w:ascii="Times New Roman" w:hAnsi="Times New Roman"/>
                <w:color w:val="000000" w:themeColor="text1"/>
                <w:kern w:val="0"/>
                <w:sz w:val="24"/>
                <w:szCs w:val="22"/>
                <w:lang w:bidi="zh-CN"/>
                <w14:textFill>
                  <w14:solidFill>
                    <w14:schemeClr w14:val="tx1"/>
                  </w14:solidFill>
                </w14:textFill>
              </w:rPr>
            </w:pPr>
            <w:r>
              <w:rPr>
                <w:rFonts w:ascii="Times New Roman" w:hAnsi="Times New Roman"/>
                <w:color w:val="000000" w:themeColor="text1"/>
                <w:kern w:val="0"/>
                <w:sz w:val="24"/>
                <w:szCs w:val="22"/>
                <w:lang w:bidi="zh-CN"/>
                <w14:textFill>
                  <w14:solidFill>
                    <w14:schemeClr w14:val="tx1"/>
                  </w14:solidFill>
                </w14:textFill>
              </w:rPr>
              <w:t>20</w:t>
            </w:r>
          </w:p>
        </w:tc>
        <w:tc>
          <w:tcPr>
            <w:tcW w:w="2027" w:type="dxa"/>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ascii="Times New Roman" w:hAnsi="Times New Roman"/>
                <w:color w:val="000000" w:themeColor="text1"/>
                <w:kern w:val="0"/>
                <w:sz w:val="24"/>
                <w:szCs w:val="22"/>
                <w:lang w:bidi="zh-CN"/>
                <w14:textFill>
                  <w14:solidFill>
                    <w14:schemeClr w14:val="tx1"/>
                  </w14:solidFill>
                </w14:textFill>
              </w:rPr>
              <w:t>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5605" w:type="dxa"/>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ascii="Times New Roman" w:hAnsi="Times New Roman"/>
                <w:color w:val="000000" w:themeColor="text1"/>
                <w:kern w:val="0"/>
                <w:sz w:val="24"/>
                <w:szCs w:val="22"/>
                <w:lang w:val="zh-CN" w:bidi="zh-CN"/>
                <w14:textFill>
                  <w14:solidFill>
                    <w14:schemeClr w14:val="tx1"/>
                  </w14:solidFill>
                </w14:textFill>
              </w:rPr>
              <w:t>具有硕士以上（含）学位教师数及比例</w:t>
            </w:r>
          </w:p>
        </w:tc>
        <w:tc>
          <w:tcPr>
            <w:tcW w:w="2027" w:type="dxa"/>
            <w:vAlign w:val="center"/>
          </w:tcPr>
          <w:p>
            <w:pPr>
              <w:autoSpaceDE w:val="0"/>
              <w:autoSpaceDN w:val="0"/>
              <w:jc w:val="center"/>
              <w:rPr>
                <w:rFonts w:ascii="Times New Roman" w:hAnsi="Times New Roman"/>
                <w:color w:val="000000" w:themeColor="text1"/>
                <w:kern w:val="0"/>
                <w:sz w:val="24"/>
                <w:szCs w:val="22"/>
                <w:lang w:bidi="zh-CN"/>
                <w14:textFill>
                  <w14:solidFill>
                    <w14:schemeClr w14:val="tx1"/>
                  </w14:solidFill>
                </w14:textFill>
              </w:rPr>
            </w:pPr>
            <w:r>
              <w:rPr>
                <w:rFonts w:ascii="Times New Roman" w:hAnsi="Times New Roman"/>
                <w:color w:val="000000" w:themeColor="text1"/>
                <w:kern w:val="0"/>
                <w:sz w:val="24"/>
                <w:szCs w:val="22"/>
                <w:lang w:bidi="zh-CN"/>
                <w14:textFill>
                  <w14:solidFill>
                    <w14:schemeClr w14:val="tx1"/>
                  </w14:solidFill>
                </w14:textFill>
              </w:rPr>
              <w:t>27</w:t>
            </w:r>
          </w:p>
        </w:tc>
        <w:tc>
          <w:tcPr>
            <w:tcW w:w="2027" w:type="dxa"/>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ascii="Times New Roman" w:hAnsi="Times New Roman"/>
                <w:color w:val="000000" w:themeColor="text1"/>
                <w:kern w:val="0"/>
                <w:sz w:val="24"/>
                <w:szCs w:val="22"/>
                <w:lang w:bidi="zh-CN"/>
                <w14:textFill>
                  <w14:solidFill>
                    <w14:schemeClr w14:val="tx1"/>
                  </w14:solidFill>
                </w14:textFill>
              </w:rPr>
              <w:t>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5605" w:type="dxa"/>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ascii="Times New Roman" w:hAnsi="Times New Roman"/>
                <w:color w:val="000000" w:themeColor="text1"/>
                <w:kern w:val="0"/>
                <w:sz w:val="24"/>
                <w:szCs w:val="22"/>
                <w:lang w:val="zh-CN" w:bidi="zh-CN"/>
                <w14:textFill>
                  <w14:solidFill>
                    <w14:schemeClr w14:val="tx1"/>
                  </w14:solidFill>
                </w14:textFill>
              </w:rPr>
              <w:t>具有博士学位教师数及比例</w:t>
            </w:r>
          </w:p>
        </w:tc>
        <w:tc>
          <w:tcPr>
            <w:tcW w:w="2027" w:type="dxa"/>
            <w:vAlign w:val="center"/>
          </w:tcPr>
          <w:p>
            <w:pPr>
              <w:autoSpaceDE w:val="0"/>
              <w:autoSpaceDN w:val="0"/>
              <w:jc w:val="center"/>
              <w:rPr>
                <w:rFonts w:ascii="Times New Roman" w:hAnsi="Times New Roman"/>
                <w:color w:val="000000" w:themeColor="text1"/>
                <w:kern w:val="0"/>
                <w:sz w:val="24"/>
                <w:szCs w:val="22"/>
                <w:lang w:bidi="zh-CN"/>
                <w14:textFill>
                  <w14:solidFill>
                    <w14:schemeClr w14:val="tx1"/>
                  </w14:solidFill>
                </w14:textFill>
              </w:rPr>
            </w:pPr>
            <w:r>
              <w:rPr>
                <w:rFonts w:ascii="Times New Roman" w:hAnsi="Times New Roman"/>
                <w:color w:val="000000" w:themeColor="text1"/>
                <w:kern w:val="0"/>
                <w:sz w:val="24"/>
                <w:szCs w:val="22"/>
                <w:lang w:bidi="zh-CN"/>
                <w14:textFill>
                  <w14:solidFill>
                    <w14:schemeClr w14:val="tx1"/>
                  </w14:solidFill>
                </w14:textFill>
              </w:rPr>
              <w:t>25</w:t>
            </w:r>
          </w:p>
        </w:tc>
        <w:tc>
          <w:tcPr>
            <w:tcW w:w="2027" w:type="dxa"/>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ascii="Times New Roman" w:hAnsi="Times New Roman"/>
                <w:color w:val="000000" w:themeColor="text1"/>
                <w:kern w:val="0"/>
                <w:sz w:val="24"/>
                <w:szCs w:val="22"/>
                <w:lang w:bidi="zh-CN"/>
                <w14:textFill>
                  <w14:solidFill>
                    <w14:schemeClr w14:val="tx1"/>
                  </w14:solidFill>
                </w14:textFill>
              </w:rPr>
              <w:t>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5605" w:type="dxa"/>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ascii="Times New Roman" w:hAnsi="Times New Roman"/>
                <w:color w:val="000000" w:themeColor="text1"/>
                <w:kern w:val="0"/>
                <w:sz w:val="24"/>
                <w:szCs w:val="22"/>
                <w:lang w:val="zh-CN" w:bidi="zh-CN"/>
                <w14:textFill>
                  <w14:solidFill>
                    <w14:schemeClr w14:val="tx1"/>
                  </w14:solidFill>
                </w14:textFill>
              </w:rPr>
              <w:t>35 岁以下青年教师数及比例</w:t>
            </w:r>
          </w:p>
        </w:tc>
        <w:tc>
          <w:tcPr>
            <w:tcW w:w="2027" w:type="dxa"/>
            <w:vAlign w:val="center"/>
          </w:tcPr>
          <w:p>
            <w:pPr>
              <w:autoSpaceDE w:val="0"/>
              <w:autoSpaceDN w:val="0"/>
              <w:jc w:val="center"/>
              <w:rPr>
                <w:rFonts w:ascii="Times New Roman" w:hAnsi="Times New Roman"/>
                <w:color w:val="000000" w:themeColor="text1"/>
                <w:kern w:val="0"/>
                <w:sz w:val="24"/>
                <w:szCs w:val="22"/>
                <w:lang w:bidi="zh-CN"/>
                <w14:textFill>
                  <w14:solidFill>
                    <w14:schemeClr w14:val="tx1"/>
                  </w14:solidFill>
                </w14:textFill>
              </w:rPr>
            </w:pPr>
            <w:r>
              <w:rPr>
                <w:rFonts w:ascii="Times New Roman" w:hAnsi="Times New Roman"/>
                <w:color w:val="000000" w:themeColor="text1"/>
                <w:kern w:val="0"/>
                <w:sz w:val="24"/>
                <w:szCs w:val="22"/>
                <w:lang w:bidi="zh-CN"/>
                <w14:textFill>
                  <w14:solidFill>
                    <w14:schemeClr w14:val="tx1"/>
                  </w14:solidFill>
                </w14:textFill>
              </w:rPr>
              <w:t>6</w:t>
            </w:r>
          </w:p>
        </w:tc>
        <w:tc>
          <w:tcPr>
            <w:tcW w:w="2027" w:type="dxa"/>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ascii="Times New Roman" w:hAnsi="Times New Roman"/>
                <w:color w:val="000000" w:themeColor="text1"/>
                <w:kern w:val="0"/>
                <w:sz w:val="24"/>
                <w:szCs w:val="22"/>
                <w:lang w:bidi="zh-CN"/>
                <w14:textFill>
                  <w14:solidFill>
                    <w14:schemeClr w14:val="tx1"/>
                  </w14:solidFill>
                </w14:textFill>
              </w:rPr>
              <w:t>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5605" w:type="dxa"/>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ascii="Times New Roman" w:hAnsi="Times New Roman"/>
                <w:color w:val="000000" w:themeColor="text1"/>
                <w:kern w:val="0"/>
                <w:sz w:val="24"/>
                <w:szCs w:val="22"/>
                <w:lang w:val="zh-CN" w:bidi="zh-CN"/>
                <w14:textFill>
                  <w14:solidFill>
                    <w14:schemeClr w14:val="tx1"/>
                  </w14:solidFill>
                </w14:textFill>
              </w:rPr>
              <w:t>36—55 岁教师数及比例</w:t>
            </w:r>
          </w:p>
        </w:tc>
        <w:tc>
          <w:tcPr>
            <w:tcW w:w="2027" w:type="dxa"/>
            <w:vAlign w:val="center"/>
          </w:tcPr>
          <w:p>
            <w:pPr>
              <w:autoSpaceDE w:val="0"/>
              <w:autoSpaceDN w:val="0"/>
              <w:jc w:val="center"/>
              <w:rPr>
                <w:rFonts w:ascii="Times New Roman" w:hAnsi="Times New Roman"/>
                <w:color w:val="000000" w:themeColor="text1"/>
                <w:kern w:val="0"/>
                <w:sz w:val="24"/>
                <w:szCs w:val="22"/>
                <w:lang w:bidi="zh-CN"/>
                <w14:textFill>
                  <w14:solidFill>
                    <w14:schemeClr w14:val="tx1"/>
                  </w14:solidFill>
                </w14:textFill>
              </w:rPr>
            </w:pPr>
            <w:r>
              <w:rPr>
                <w:rFonts w:ascii="Times New Roman" w:hAnsi="Times New Roman"/>
                <w:color w:val="000000" w:themeColor="text1"/>
                <w:kern w:val="0"/>
                <w:sz w:val="24"/>
                <w:szCs w:val="22"/>
                <w:lang w:bidi="zh-CN"/>
                <w14:textFill>
                  <w14:solidFill>
                    <w14:schemeClr w14:val="tx1"/>
                  </w14:solidFill>
                </w14:textFill>
              </w:rPr>
              <w:t>19</w:t>
            </w:r>
          </w:p>
        </w:tc>
        <w:tc>
          <w:tcPr>
            <w:tcW w:w="2027" w:type="dxa"/>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ascii="Times New Roman" w:hAnsi="Times New Roman"/>
                <w:color w:val="000000" w:themeColor="text1"/>
                <w:kern w:val="0"/>
                <w:sz w:val="24"/>
                <w:szCs w:val="22"/>
                <w:lang w:bidi="zh-CN"/>
                <w14:textFill>
                  <w14:solidFill>
                    <w14:schemeClr w14:val="tx1"/>
                  </w14:solidFill>
                </w14:textFill>
              </w:rPr>
              <w:t>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5605" w:type="dxa"/>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ascii="Times New Roman" w:hAnsi="Times New Roman"/>
                <w:color w:val="000000" w:themeColor="text1"/>
                <w:kern w:val="0"/>
                <w:sz w:val="24"/>
                <w:szCs w:val="22"/>
                <w:lang w:val="zh-CN" w:bidi="zh-CN"/>
                <w14:textFill>
                  <w14:solidFill>
                    <w14:schemeClr w14:val="tx1"/>
                  </w14:solidFill>
                </w14:textFill>
              </w:rPr>
              <w:t>兼职/专职教师比例</w:t>
            </w:r>
          </w:p>
        </w:tc>
        <w:tc>
          <w:tcPr>
            <w:tcW w:w="4054" w:type="dxa"/>
            <w:gridSpan w:val="2"/>
            <w:vAlign w:val="center"/>
          </w:tcPr>
          <w:p>
            <w:pPr>
              <w:autoSpaceDE w:val="0"/>
              <w:autoSpaceDN w:val="0"/>
              <w:jc w:val="center"/>
              <w:rPr>
                <w:rFonts w:ascii="Times New Roman" w:hAnsi="Times New Roman"/>
                <w:color w:val="000000" w:themeColor="text1"/>
                <w:kern w:val="0"/>
                <w:sz w:val="24"/>
                <w:szCs w:val="22"/>
                <w:lang w:bidi="zh-CN"/>
                <w14:textFill>
                  <w14:solidFill>
                    <w14:schemeClr w14:val="tx1"/>
                  </w14:solidFill>
                </w14:textFill>
              </w:rPr>
            </w:pPr>
            <w:r>
              <w:rPr>
                <w:rFonts w:ascii="Times New Roman" w:hAnsi="Times New Roman"/>
                <w:color w:val="000000" w:themeColor="text1"/>
                <w:kern w:val="0"/>
                <w:sz w:val="24"/>
                <w:szCs w:val="22"/>
                <w:lang w:bidi="zh-CN"/>
                <w14:textFill>
                  <w14:solidFill>
                    <w14:schemeClr w14:val="tx1"/>
                  </w14:solidFill>
                </w14:textFill>
              </w:rPr>
              <w:t>3:25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5605" w:type="dxa"/>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ascii="Times New Roman" w:hAnsi="Times New Roman"/>
                <w:color w:val="000000" w:themeColor="text1"/>
                <w:kern w:val="0"/>
                <w:sz w:val="24"/>
                <w:szCs w:val="22"/>
                <w:lang w:val="zh-CN" w:bidi="zh-CN"/>
                <w14:textFill>
                  <w14:solidFill>
                    <w14:schemeClr w14:val="tx1"/>
                  </w14:solidFill>
                </w14:textFill>
              </w:rPr>
              <w:t>专业核心课程门数</w:t>
            </w:r>
          </w:p>
        </w:tc>
        <w:tc>
          <w:tcPr>
            <w:tcW w:w="4054" w:type="dxa"/>
            <w:gridSpan w:val="2"/>
            <w:vAlign w:val="center"/>
          </w:tcPr>
          <w:p>
            <w:pPr>
              <w:autoSpaceDE w:val="0"/>
              <w:autoSpaceDN w:val="0"/>
              <w:jc w:val="center"/>
              <w:rPr>
                <w:rFonts w:ascii="Times New Roman" w:hAnsi="Times New Roman"/>
                <w:color w:val="000000" w:themeColor="text1"/>
                <w:kern w:val="0"/>
                <w:sz w:val="24"/>
                <w:szCs w:val="22"/>
                <w:lang w:bidi="zh-CN"/>
                <w14:textFill>
                  <w14:solidFill>
                    <w14:schemeClr w14:val="tx1"/>
                  </w14:solidFill>
                </w14:textFill>
              </w:rPr>
            </w:pPr>
            <w:r>
              <w:rPr>
                <w:rFonts w:ascii="Times New Roman" w:hAnsi="Times New Roman"/>
                <w:color w:val="000000" w:themeColor="text1"/>
                <w:kern w:val="0"/>
                <w:sz w:val="24"/>
                <w:szCs w:val="22"/>
                <w:lang w:bidi="zh-CN"/>
                <w14:textFill>
                  <w14:solidFill>
                    <w14:schemeClr w14:val="tx1"/>
                  </w14:solidFill>
                </w14:textFill>
              </w:rPr>
              <w:t>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5605" w:type="dxa"/>
            <w:vAlign w:val="center"/>
          </w:tcPr>
          <w:p>
            <w:pPr>
              <w:autoSpaceDE w:val="0"/>
              <w:autoSpaceDN w:val="0"/>
              <w:jc w:val="center"/>
              <w:rPr>
                <w:rFonts w:ascii="Times New Roman" w:hAnsi="Times New Roman"/>
                <w:color w:val="000000" w:themeColor="text1"/>
                <w:kern w:val="0"/>
                <w:sz w:val="24"/>
                <w:szCs w:val="22"/>
                <w:lang w:val="zh-CN" w:bidi="zh-CN"/>
                <w14:textFill>
                  <w14:solidFill>
                    <w14:schemeClr w14:val="tx1"/>
                  </w14:solidFill>
                </w14:textFill>
              </w:rPr>
            </w:pPr>
            <w:r>
              <w:rPr>
                <w:rFonts w:ascii="Times New Roman" w:hAnsi="Times New Roman"/>
                <w:color w:val="000000" w:themeColor="text1"/>
                <w:kern w:val="0"/>
                <w:sz w:val="24"/>
                <w:szCs w:val="22"/>
                <w:lang w:val="zh-CN" w:bidi="zh-CN"/>
                <w14:textFill>
                  <w14:solidFill>
                    <w14:schemeClr w14:val="tx1"/>
                  </w14:solidFill>
                </w14:textFill>
              </w:rPr>
              <w:t>专业核心课程任课教师数</w:t>
            </w:r>
          </w:p>
        </w:tc>
        <w:tc>
          <w:tcPr>
            <w:tcW w:w="4054" w:type="dxa"/>
            <w:gridSpan w:val="2"/>
            <w:vAlign w:val="center"/>
          </w:tcPr>
          <w:p>
            <w:pPr>
              <w:autoSpaceDE w:val="0"/>
              <w:autoSpaceDN w:val="0"/>
              <w:jc w:val="center"/>
              <w:rPr>
                <w:rFonts w:ascii="Times New Roman" w:hAnsi="Times New Roman"/>
                <w:color w:val="000000" w:themeColor="text1"/>
                <w:kern w:val="0"/>
                <w:sz w:val="24"/>
                <w:szCs w:val="22"/>
                <w:lang w:bidi="zh-CN"/>
                <w14:textFill>
                  <w14:solidFill>
                    <w14:schemeClr w14:val="tx1"/>
                  </w14:solidFill>
                </w14:textFill>
              </w:rPr>
            </w:pPr>
            <w:r>
              <w:rPr>
                <w:rFonts w:ascii="Times New Roman" w:hAnsi="Times New Roman"/>
                <w:color w:val="000000" w:themeColor="text1"/>
                <w:kern w:val="0"/>
                <w:sz w:val="24"/>
                <w:szCs w:val="22"/>
                <w:lang w:bidi="zh-CN"/>
                <w14:textFill>
                  <w14:solidFill>
                    <w14:schemeClr w14:val="tx1"/>
                  </w14:solidFill>
                </w14:textFill>
              </w:rPr>
              <w:t>11</w:t>
            </w:r>
          </w:p>
        </w:tc>
      </w:tr>
    </w:tbl>
    <w:p>
      <w:pPr>
        <w:tabs>
          <w:tab w:val="left" w:pos="714"/>
        </w:tabs>
        <w:autoSpaceDE w:val="0"/>
        <w:autoSpaceDN w:val="0"/>
        <w:spacing w:line="484" w:lineRule="exact"/>
        <w:rPr>
          <w:rFonts w:ascii="Times New Roman" w:hAnsi="Times New Roman"/>
          <w:kern w:val="0"/>
          <w:sz w:val="28"/>
          <w:szCs w:val="22"/>
          <w:lang w:val="zh-CN" w:bidi="zh-CN"/>
        </w:rPr>
      </w:pPr>
    </w:p>
    <w:p>
      <w:pPr>
        <w:tabs>
          <w:tab w:val="left" w:pos="714"/>
        </w:tabs>
        <w:autoSpaceDE w:val="0"/>
        <w:autoSpaceDN w:val="0"/>
        <w:spacing w:line="484" w:lineRule="exact"/>
        <w:rPr>
          <w:rFonts w:hint="eastAsia" w:ascii="宋体" w:hAnsi="宋体"/>
          <w:kern w:val="0"/>
          <w:sz w:val="24"/>
          <w:lang w:val="zh-CN" w:bidi="zh-CN"/>
        </w:rPr>
      </w:pPr>
      <w:r>
        <w:rPr>
          <w:rFonts w:hint="eastAsia" w:ascii="Times New Roman" w:hAnsi="Times New Roman"/>
          <w:kern w:val="0"/>
          <w:sz w:val="28"/>
          <w:szCs w:val="22"/>
          <w:lang w:bidi="zh-CN"/>
        </w:rPr>
        <w:t>5</w:t>
      </w:r>
      <w:r>
        <w:rPr>
          <w:rFonts w:ascii="Times New Roman" w:hAnsi="Times New Roman"/>
          <w:kern w:val="0"/>
          <w:sz w:val="28"/>
          <w:szCs w:val="22"/>
          <w:lang w:val="zh-CN" w:bidi="zh-CN"/>
        </w:rPr>
        <w:t>.2</w:t>
      </w:r>
      <w:r>
        <w:rPr>
          <w:rFonts w:ascii="宋体" w:hAnsi="宋体"/>
          <w:kern w:val="0"/>
          <w:sz w:val="28"/>
          <w:szCs w:val="22"/>
          <w:lang w:val="zh-CN" w:bidi="zh-CN"/>
        </w:rPr>
        <w:t>教师基本情况表</w:t>
      </w:r>
    </w:p>
    <w:tbl>
      <w:tblPr>
        <w:tblStyle w:val="40"/>
        <w:tblW w:w="94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9"/>
        <w:gridCol w:w="445"/>
        <w:gridCol w:w="933"/>
        <w:gridCol w:w="1253"/>
        <w:gridCol w:w="833"/>
        <w:gridCol w:w="1223"/>
        <w:gridCol w:w="1225"/>
        <w:gridCol w:w="1226"/>
        <w:gridCol w:w="903"/>
        <w:gridCol w:w="5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jc w:val="center"/>
        </w:trPr>
        <w:tc>
          <w:tcPr>
            <w:tcW w:w="859" w:type="dxa"/>
            <w:vAlign w:val="center"/>
          </w:tcPr>
          <w:p>
            <w:pPr>
              <w:autoSpaceDE w:val="0"/>
              <w:autoSpaceDN w:val="0"/>
              <w:jc w:val="center"/>
              <w:rPr>
                <w:rFonts w:hint="eastAsia" w:ascii="宋体" w:hAnsi="宋体" w:cs="宋体"/>
                <w:kern w:val="0"/>
                <w:sz w:val="24"/>
                <w:lang w:val="zh-CN" w:bidi="zh-CN"/>
              </w:rPr>
            </w:pPr>
            <w:r>
              <w:rPr>
                <w:rFonts w:hint="eastAsia" w:ascii="宋体" w:hAnsi="宋体" w:cs="宋体"/>
                <w:kern w:val="0"/>
                <w:sz w:val="24"/>
                <w:lang w:val="zh-CN" w:bidi="zh-CN"/>
              </w:rPr>
              <w:t>姓</w:t>
            </w:r>
          </w:p>
          <w:p>
            <w:pPr>
              <w:autoSpaceDE w:val="0"/>
              <w:autoSpaceDN w:val="0"/>
              <w:jc w:val="center"/>
              <w:rPr>
                <w:rFonts w:hint="eastAsia" w:ascii="宋体" w:hAnsi="宋体" w:cs="宋体"/>
                <w:kern w:val="0"/>
                <w:sz w:val="24"/>
                <w:lang w:val="zh-CN" w:bidi="zh-CN"/>
              </w:rPr>
            </w:pPr>
            <w:r>
              <w:rPr>
                <w:rFonts w:hint="eastAsia" w:ascii="宋体" w:hAnsi="宋体" w:cs="宋体"/>
                <w:kern w:val="0"/>
                <w:sz w:val="24"/>
                <w:lang w:val="zh-CN" w:bidi="zh-CN"/>
              </w:rPr>
              <w:t>名</w:t>
            </w:r>
          </w:p>
        </w:tc>
        <w:tc>
          <w:tcPr>
            <w:tcW w:w="445" w:type="dxa"/>
            <w:vAlign w:val="center"/>
          </w:tcPr>
          <w:p>
            <w:pPr>
              <w:autoSpaceDE w:val="0"/>
              <w:autoSpaceDN w:val="0"/>
              <w:jc w:val="center"/>
              <w:rPr>
                <w:rFonts w:hint="eastAsia" w:ascii="宋体" w:hAnsi="宋体" w:cs="宋体"/>
                <w:kern w:val="0"/>
                <w:sz w:val="24"/>
                <w:lang w:val="zh-CN" w:bidi="zh-CN"/>
              </w:rPr>
            </w:pPr>
            <w:r>
              <w:rPr>
                <w:rFonts w:hint="eastAsia" w:ascii="宋体" w:hAnsi="宋体" w:cs="宋体"/>
                <w:kern w:val="0"/>
                <w:sz w:val="24"/>
                <w:lang w:val="zh-CN" w:bidi="zh-CN"/>
              </w:rPr>
              <w:t>性</w:t>
            </w:r>
          </w:p>
          <w:p>
            <w:pPr>
              <w:autoSpaceDE w:val="0"/>
              <w:autoSpaceDN w:val="0"/>
              <w:jc w:val="center"/>
              <w:rPr>
                <w:rFonts w:hint="eastAsia" w:ascii="宋体" w:hAnsi="宋体" w:cs="宋体"/>
                <w:kern w:val="0"/>
                <w:sz w:val="24"/>
                <w:lang w:val="zh-CN" w:bidi="zh-CN"/>
              </w:rPr>
            </w:pPr>
            <w:r>
              <w:rPr>
                <w:rFonts w:hint="eastAsia" w:ascii="宋体" w:hAnsi="宋体" w:cs="宋体"/>
                <w:kern w:val="0"/>
                <w:sz w:val="24"/>
                <w:lang w:val="zh-CN" w:bidi="zh-CN"/>
              </w:rPr>
              <w:t>别</w:t>
            </w:r>
          </w:p>
        </w:tc>
        <w:tc>
          <w:tcPr>
            <w:tcW w:w="933" w:type="dxa"/>
            <w:vAlign w:val="center"/>
          </w:tcPr>
          <w:p>
            <w:pPr>
              <w:autoSpaceDE w:val="0"/>
              <w:autoSpaceDN w:val="0"/>
              <w:jc w:val="center"/>
              <w:rPr>
                <w:rFonts w:hint="eastAsia" w:ascii="宋体" w:hAnsi="宋体" w:cs="宋体"/>
                <w:kern w:val="0"/>
                <w:sz w:val="24"/>
                <w:lang w:val="zh-CN" w:bidi="zh-CN"/>
              </w:rPr>
            </w:pPr>
            <w:r>
              <w:rPr>
                <w:rFonts w:hint="eastAsia" w:ascii="宋体" w:hAnsi="宋体" w:cs="宋体"/>
                <w:kern w:val="0"/>
                <w:sz w:val="24"/>
                <w:lang w:val="zh-CN" w:bidi="zh-CN"/>
              </w:rPr>
              <w:t>出生</w:t>
            </w:r>
          </w:p>
          <w:p>
            <w:pPr>
              <w:autoSpaceDE w:val="0"/>
              <w:autoSpaceDN w:val="0"/>
              <w:jc w:val="center"/>
              <w:rPr>
                <w:rFonts w:hint="eastAsia" w:ascii="宋体" w:hAnsi="宋体" w:cs="宋体"/>
                <w:kern w:val="0"/>
                <w:sz w:val="24"/>
                <w:lang w:val="zh-CN" w:bidi="zh-CN"/>
              </w:rPr>
            </w:pPr>
            <w:r>
              <w:rPr>
                <w:rFonts w:hint="eastAsia" w:ascii="宋体" w:hAnsi="宋体" w:cs="宋体"/>
                <w:kern w:val="0"/>
                <w:sz w:val="24"/>
                <w:lang w:val="zh-CN" w:bidi="zh-CN"/>
              </w:rPr>
              <w:t>年月</w:t>
            </w:r>
          </w:p>
        </w:tc>
        <w:tc>
          <w:tcPr>
            <w:tcW w:w="1253" w:type="dxa"/>
            <w:vAlign w:val="center"/>
          </w:tcPr>
          <w:p>
            <w:pPr>
              <w:autoSpaceDE w:val="0"/>
              <w:autoSpaceDN w:val="0"/>
              <w:jc w:val="center"/>
              <w:rPr>
                <w:rFonts w:hint="eastAsia" w:ascii="宋体" w:hAnsi="宋体" w:cs="宋体"/>
                <w:kern w:val="0"/>
                <w:sz w:val="24"/>
                <w:lang w:val="zh-CN" w:bidi="zh-CN"/>
              </w:rPr>
            </w:pPr>
            <w:r>
              <w:rPr>
                <w:rFonts w:hint="eastAsia" w:ascii="宋体" w:hAnsi="宋体" w:cs="宋体"/>
                <w:kern w:val="0"/>
                <w:sz w:val="24"/>
                <w:lang w:val="zh-CN" w:bidi="zh-CN"/>
              </w:rPr>
              <w:t>拟授</w:t>
            </w:r>
          </w:p>
          <w:p>
            <w:pPr>
              <w:autoSpaceDE w:val="0"/>
              <w:autoSpaceDN w:val="0"/>
              <w:jc w:val="center"/>
              <w:rPr>
                <w:rFonts w:hint="eastAsia" w:ascii="宋体" w:hAnsi="宋体" w:cs="宋体"/>
                <w:kern w:val="0"/>
                <w:sz w:val="24"/>
                <w:lang w:val="zh-CN" w:bidi="zh-CN"/>
              </w:rPr>
            </w:pPr>
            <w:r>
              <w:rPr>
                <w:rFonts w:hint="eastAsia" w:ascii="宋体" w:hAnsi="宋体" w:cs="宋体"/>
                <w:kern w:val="0"/>
                <w:sz w:val="24"/>
                <w:lang w:val="zh-CN" w:bidi="zh-CN"/>
              </w:rPr>
              <w:t>课程</w:t>
            </w:r>
          </w:p>
        </w:tc>
        <w:tc>
          <w:tcPr>
            <w:tcW w:w="833" w:type="dxa"/>
            <w:vAlign w:val="center"/>
          </w:tcPr>
          <w:p>
            <w:pPr>
              <w:autoSpaceDE w:val="0"/>
              <w:autoSpaceDN w:val="0"/>
              <w:jc w:val="center"/>
              <w:rPr>
                <w:rFonts w:hint="eastAsia" w:ascii="宋体" w:hAnsi="宋体" w:cs="宋体"/>
                <w:kern w:val="0"/>
                <w:sz w:val="24"/>
                <w:lang w:val="zh-CN" w:bidi="zh-CN"/>
              </w:rPr>
            </w:pPr>
            <w:r>
              <w:rPr>
                <w:rFonts w:hint="eastAsia" w:ascii="宋体" w:hAnsi="宋体" w:cs="宋体"/>
                <w:kern w:val="0"/>
                <w:sz w:val="24"/>
                <w:lang w:val="zh-CN" w:bidi="zh-CN"/>
              </w:rPr>
              <w:t>专业技</w:t>
            </w:r>
          </w:p>
          <w:p>
            <w:pPr>
              <w:autoSpaceDE w:val="0"/>
              <w:autoSpaceDN w:val="0"/>
              <w:jc w:val="center"/>
              <w:rPr>
                <w:rFonts w:hint="eastAsia" w:ascii="宋体" w:hAnsi="宋体" w:cs="宋体"/>
                <w:kern w:val="0"/>
                <w:sz w:val="24"/>
                <w:lang w:val="zh-CN" w:bidi="zh-CN"/>
              </w:rPr>
            </w:pPr>
            <w:r>
              <w:rPr>
                <w:rFonts w:hint="eastAsia" w:ascii="宋体" w:hAnsi="宋体" w:cs="宋体"/>
                <w:kern w:val="0"/>
                <w:sz w:val="24"/>
                <w:lang w:val="zh-CN" w:bidi="zh-CN"/>
              </w:rPr>
              <w:t>术职务</w:t>
            </w:r>
          </w:p>
        </w:tc>
        <w:tc>
          <w:tcPr>
            <w:tcW w:w="1223" w:type="dxa"/>
            <w:vAlign w:val="center"/>
          </w:tcPr>
          <w:p>
            <w:pPr>
              <w:autoSpaceDE w:val="0"/>
              <w:autoSpaceDN w:val="0"/>
              <w:jc w:val="center"/>
              <w:rPr>
                <w:rFonts w:hint="eastAsia" w:ascii="宋体" w:hAnsi="宋体" w:cs="宋体"/>
                <w:kern w:val="0"/>
                <w:sz w:val="24"/>
                <w:lang w:val="zh-CN" w:bidi="zh-CN"/>
              </w:rPr>
            </w:pPr>
            <w:r>
              <w:rPr>
                <w:rFonts w:hint="eastAsia" w:ascii="宋体" w:hAnsi="宋体" w:cs="宋体"/>
                <w:kern w:val="0"/>
                <w:sz w:val="24"/>
                <w:lang w:val="zh-CN" w:bidi="zh-CN"/>
              </w:rPr>
              <w:t>最后学历</w:t>
            </w:r>
          </w:p>
          <w:p>
            <w:pPr>
              <w:autoSpaceDE w:val="0"/>
              <w:autoSpaceDN w:val="0"/>
              <w:jc w:val="center"/>
              <w:rPr>
                <w:rFonts w:hint="eastAsia" w:ascii="宋体" w:hAnsi="宋体" w:cs="宋体"/>
                <w:kern w:val="0"/>
                <w:sz w:val="24"/>
                <w:lang w:val="zh-CN" w:bidi="zh-CN"/>
              </w:rPr>
            </w:pPr>
            <w:r>
              <w:rPr>
                <w:rFonts w:hint="eastAsia" w:ascii="宋体" w:hAnsi="宋体" w:cs="宋体"/>
                <w:kern w:val="0"/>
                <w:sz w:val="24"/>
                <w:lang w:val="zh-CN" w:bidi="zh-CN"/>
              </w:rPr>
              <w:t>毕业学校</w:t>
            </w:r>
          </w:p>
        </w:tc>
        <w:tc>
          <w:tcPr>
            <w:tcW w:w="1225" w:type="dxa"/>
            <w:vAlign w:val="center"/>
          </w:tcPr>
          <w:p>
            <w:pPr>
              <w:autoSpaceDE w:val="0"/>
              <w:autoSpaceDN w:val="0"/>
              <w:jc w:val="center"/>
              <w:rPr>
                <w:rFonts w:hint="eastAsia" w:ascii="宋体" w:hAnsi="宋体" w:cs="宋体"/>
                <w:kern w:val="0"/>
                <w:sz w:val="24"/>
                <w:lang w:val="zh-CN" w:bidi="zh-CN"/>
              </w:rPr>
            </w:pPr>
            <w:r>
              <w:rPr>
                <w:rFonts w:hint="eastAsia" w:ascii="宋体" w:hAnsi="宋体" w:cs="宋体"/>
                <w:kern w:val="0"/>
                <w:sz w:val="24"/>
                <w:lang w:val="zh-CN" w:bidi="zh-CN"/>
              </w:rPr>
              <w:t>最后学历</w:t>
            </w:r>
          </w:p>
          <w:p>
            <w:pPr>
              <w:autoSpaceDE w:val="0"/>
              <w:autoSpaceDN w:val="0"/>
              <w:jc w:val="center"/>
              <w:rPr>
                <w:rFonts w:hint="eastAsia" w:ascii="宋体" w:hAnsi="宋体" w:cs="宋体"/>
                <w:kern w:val="0"/>
                <w:sz w:val="24"/>
                <w:lang w:val="zh-CN" w:bidi="zh-CN"/>
              </w:rPr>
            </w:pPr>
            <w:r>
              <w:rPr>
                <w:rFonts w:hint="eastAsia" w:ascii="宋体" w:hAnsi="宋体" w:cs="宋体"/>
                <w:kern w:val="0"/>
                <w:sz w:val="24"/>
                <w:lang w:val="zh-CN" w:bidi="zh-CN"/>
              </w:rPr>
              <w:t>毕业专业</w:t>
            </w:r>
          </w:p>
        </w:tc>
        <w:tc>
          <w:tcPr>
            <w:tcW w:w="1226" w:type="dxa"/>
            <w:vAlign w:val="center"/>
          </w:tcPr>
          <w:p>
            <w:pPr>
              <w:autoSpaceDE w:val="0"/>
              <w:autoSpaceDN w:val="0"/>
              <w:jc w:val="center"/>
              <w:rPr>
                <w:rFonts w:hint="eastAsia" w:ascii="宋体" w:hAnsi="宋体" w:cs="宋体"/>
                <w:kern w:val="0"/>
                <w:sz w:val="24"/>
                <w:lang w:val="zh-CN" w:bidi="zh-CN"/>
              </w:rPr>
            </w:pPr>
            <w:r>
              <w:rPr>
                <w:rFonts w:hint="eastAsia" w:ascii="宋体" w:hAnsi="宋体" w:cs="宋体"/>
                <w:kern w:val="0"/>
                <w:sz w:val="24"/>
                <w:lang w:val="zh-CN" w:bidi="zh-CN"/>
              </w:rPr>
              <w:t>最后学历</w:t>
            </w:r>
          </w:p>
          <w:p>
            <w:pPr>
              <w:autoSpaceDE w:val="0"/>
              <w:autoSpaceDN w:val="0"/>
              <w:jc w:val="center"/>
              <w:rPr>
                <w:rFonts w:hint="eastAsia" w:ascii="宋体" w:hAnsi="宋体" w:cs="宋体"/>
                <w:kern w:val="0"/>
                <w:sz w:val="24"/>
                <w:lang w:val="zh-CN" w:bidi="zh-CN"/>
              </w:rPr>
            </w:pPr>
            <w:r>
              <w:rPr>
                <w:rFonts w:hint="eastAsia" w:ascii="宋体" w:hAnsi="宋体" w:cs="宋体"/>
                <w:kern w:val="0"/>
                <w:sz w:val="24"/>
                <w:lang w:val="zh-CN" w:bidi="zh-CN"/>
              </w:rPr>
              <w:t>毕业学位</w:t>
            </w:r>
          </w:p>
        </w:tc>
        <w:tc>
          <w:tcPr>
            <w:tcW w:w="903" w:type="dxa"/>
            <w:vAlign w:val="center"/>
          </w:tcPr>
          <w:p>
            <w:pPr>
              <w:autoSpaceDE w:val="0"/>
              <w:autoSpaceDN w:val="0"/>
              <w:jc w:val="center"/>
              <w:rPr>
                <w:rFonts w:hint="eastAsia" w:ascii="宋体" w:hAnsi="宋体" w:cs="宋体"/>
                <w:kern w:val="0"/>
                <w:sz w:val="24"/>
                <w:lang w:val="zh-CN" w:bidi="zh-CN"/>
              </w:rPr>
            </w:pPr>
            <w:r>
              <w:rPr>
                <w:rFonts w:hint="eastAsia" w:ascii="宋体" w:hAnsi="宋体" w:cs="宋体"/>
                <w:kern w:val="0"/>
                <w:sz w:val="24"/>
                <w:lang w:val="zh-CN" w:bidi="zh-CN"/>
              </w:rPr>
              <w:t>研究</w:t>
            </w:r>
          </w:p>
          <w:p>
            <w:pPr>
              <w:autoSpaceDE w:val="0"/>
              <w:autoSpaceDN w:val="0"/>
              <w:jc w:val="center"/>
              <w:rPr>
                <w:rFonts w:hint="eastAsia" w:ascii="宋体" w:hAnsi="宋体" w:cs="宋体"/>
                <w:kern w:val="0"/>
                <w:sz w:val="24"/>
                <w:lang w:val="zh-CN" w:bidi="zh-CN"/>
              </w:rPr>
            </w:pPr>
            <w:r>
              <w:rPr>
                <w:rFonts w:hint="eastAsia" w:ascii="宋体" w:hAnsi="宋体" w:cs="宋体"/>
                <w:kern w:val="0"/>
                <w:sz w:val="24"/>
                <w:lang w:val="zh-CN" w:bidi="zh-CN"/>
              </w:rPr>
              <w:t>领域</w:t>
            </w:r>
          </w:p>
        </w:tc>
        <w:tc>
          <w:tcPr>
            <w:tcW w:w="585" w:type="dxa"/>
            <w:vAlign w:val="center"/>
          </w:tcPr>
          <w:p>
            <w:pPr>
              <w:autoSpaceDE w:val="0"/>
              <w:autoSpaceDN w:val="0"/>
              <w:jc w:val="center"/>
              <w:rPr>
                <w:rFonts w:hint="eastAsia" w:ascii="宋体" w:hAnsi="宋体" w:cs="宋体"/>
                <w:kern w:val="0"/>
                <w:sz w:val="24"/>
                <w:lang w:val="zh-CN" w:bidi="zh-CN"/>
              </w:rPr>
            </w:pPr>
            <w:r>
              <w:rPr>
                <w:rFonts w:hint="eastAsia" w:ascii="宋体" w:hAnsi="宋体" w:cs="宋体"/>
                <w:kern w:val="0"/>
                <w:sz w:val="24"/>
                <w:lang w:val="zh-CN" w:bidi="zh-CN"/>
              </w:rPr>
              <w:t>专职</w:t>
            </w:r>
          </w:p>
          <w:p>
            <w:pPr>
              <w:autoSpaceDE w:val="0"/>
              <w:autoSpaceDN w:val="0"/>
              <w:jc w:val="center"/>
              <w:rPr>
                <w:rFonts w:hint="eastAsia" w:ascii="宋体" w:hAnsi="宋体" w:cs="宋体"/>
                <w:kern w:val="0"/>
                <w:sz w:val="24"/>
                <w:lang w:val="zh-CN" w:bidi="zh-CN"/>
              </w:rPr>
            </w:pPr>
            <w:r>
              <w:rPr>
                <w:rFonts w:hint="eastAsia" w:ascii="宋体" w:hAnsi="宋体" w:cs="宋体"/>
                <w:kern w:val="0"/>
                <w:sz w:val="24"/>
                <w:lang w:val="zh-CN" w:bidi="zh-CN"/>
              </w:rPr>
              <w:t>/兼职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859"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张海丰</w:t>
            </w:r>
          </w:p>
        </w:tc>
        <w:tc>
          <w:tcPr>
            <w:tcW w:w="44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男</w:t>
            </w:r>
          </w:p>
        </w:tc>
        <w:tc>
          <w:tcPr>
            <w:tcW w:w="9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1981-01</w:t>
            </w:r>
          </w:p>
        </w:tc>
        <w:tc>
          <w:tcPr>
            <w:tcW w:w="125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数字经济学</w:t>
            </w:r>
          </w:p>
        </w:tc>
        <w:tc>
          <w:tcPr>
            <w:tcW w:w="8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教授</w:t>
            </w:r>
          </w:p>
        </w:tc>
        <w:tc>
          <w:tcPr>
            <w:tcW w:w="122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中南财经政法大学</w:t>
            </w:r>
          </w:p>
        </w:tc>
        <w:tc>
          <w:tcPr>
            <w:tcW w:w="122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政治经济学</w:t>
            </w:r>
          </w:p>
        </w:tc>
        <w:tc>
          <w:tcPr>
            <w:tcW w:w="1226"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博士</w:t>
            </w:r>
          </w:p>
        </w:tc>
        <w:tc>
          <w:tcPr>
            <w:tcW w:w="90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数字经济创新与制度</w:t>
            </w:r>
          </w:p>
        </w:tc>
        <w:tc>
          <w:tcPr>
            <w:tcW w:w="58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859"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伍先福</w:t>
            </w:r>
          </w:p>
        </w:tc>
        <w:tc>
          <w:tcPr>
            <w:tcW w:w="44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男</w:t>
            </w:r>
          </w:p>
        </w:tc>
        <w:tc>
          <w:tcPr>
            <w:tcW w:w="9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1980-07</w:t>
            </w:r>
          </w:p>
        </w:tc>
        <w:tc>
          <w:tcPr>
            <w:tcW w:w="125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经济大数据</w:t>
            </w:r>
          </w:p>
        </w:tc>
        <w:tc>
          <w:tcPr>
            <w:tcW w:w="8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教授</w:t>
            </w:r>
          </w:p>
        </w:tc>
        <w:tc>
          <w:tcPr>
            <w:tcW w:w="122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广西大学</w:t>
            </w:r>
          </w:p>
        </w:tc>
        <w:tc>
          <w:tcPr>
            <w:tcW w:w="122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应用经济学</w:t>
            </w:r>
          </w:p>
        </w:tc>
        <w:tc>
          <w:tcPr>
            <w:tcW w:w="1226"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博士</w:t>
            </w:r>
          </w:p>
        </w:tc>
        <w:tc>
          <w:tcPr>
            <w:tcW w:w="90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数字经济与全球价值链</w:t>
            </w:r>
          </w:p>
        </w:tc>
        <w:tc>
          <w:tcPr>
            <w:tcW w:w="58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859"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钟学思</w:t>
            </w:r>
          </w:p>
        </w:tc>
        <w:tc>
          <w:tcPr>
            <w:tcW w:w="44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男</w:t>
            </w:r>
          </w:p>
        </w:tc>
        <w:tc>
          <w:tcPr>
            <w:tcW w:w="9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1981-04</w:t>
            </w:r>
          </w:p>
        </w:tc>
        <w:tc>
          <w:tcPr>
            <w:tcW w:w="125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政治经济学</w:t>
            </w:r>
          </w:p>
        </w:tc>
        <w:tc>
          <w:tcPr>
            <w:tcW w:w="8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教授</w:t>
            </w:r>
          </w:p>
        </w:tc>
        <w:tc>
          <w:tcPr>
            <w:tcW w:w="122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中南财经政法大学</w:t>
            </w:r>
          </w:p>
        </w:tc>
        <w:tc>
          <w:tcPr>
            <w:tcW w:w="122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经济思想史</w:t>
            </w:r>
          </w:p>
        </w:tc>
        <w:tc>
          <w:tcPr>
            <w:tcW w:w="1226"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博士</w:t>
            </w:r>
          </w:p>
        </w:tc>
        <w:tc>
          <w:tcPr>
            <w:tcW w:w="90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数字普惠金融与乡村振兴</w:t>
            </w:r>
          </w:p>
        </w:tc>
        <w:tc>
          <w:tcPr>
            <w:tcW w:w="58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859"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蒋团标</w:t>
            </w:r>
          </w:p>
        </w:tc>
        <w:tc>
          <w:tcPr>
            <w:tcW w:w="44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男</w:t>
            </w:r>
          </w:p>
        </w:tc>
        <w:tc>
          <w:tcPr>
            <w:tcW w:w="9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1964-03</w:t>
            </w:r>
          </w:p>
        </w:tc>
        <w:tc>
          <w:tcPr>
            <w:tcW w:w="125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习近平经济思想概论</w:t>
            </w:r>
          </w:p>
        </w:tc>
        <w:tc>
          <w:tcPr>
            <w:tcW w:w="8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教授</w:t>
            </w:r>
          </w:p>
        </w:tc>
        <w:tc>
          <w:tcPr>
            <w:tcW w:w="122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广西师范大学</w:t>
            </w:r>
          </w:p>
        </w:tc>
        <w:tc>
          <w:tcPr>
            <w:tcW w:w="122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哲学</w:t>
            </w:r>
          </w:p>
        </w:tc>
        <w:tc>
          <w:tcPr>
            <w:tcW w:w="1226"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硕士</w:t>
            </w:r>
          </w:p>
        </w:tc>
        <w:tc>
          <w:tcPr>
            <w:tcW w:w="90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数字产业经济</w:t>
            </w:r>
          </w:p>
        </w:tc>
        <w:tc>
          <w:tcPr>
            <w:tcW w:w="58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9" w:hRule="atLeast"/>
          <w:jc w:val="center"/>
        </w:trPr>
        <w:tc>
          <w:tcPr>
            <w:tcW w:w="859"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苏方林</w:t>
            </w:r>
          </w:p>
        </w:tc>
        <w:tc>
          <w:tcPr>
            <w:tcW w:w="44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男</w:t>
            </w:r>
          </w:p>
        </w:tc>
        <w:tc>
          <w:tcPr>
            <w:tcW w:w="9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1971-10</w:t>
            </w:r>
          </w:p>
        </w:tc>
        <w:tc>
          <w:tcPr>
            <w:tcW w:w="125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计量经济学</w:t>
            </w:r>
          </w:p>
        </w:tc>
        <w:tc>
          <w:tcPr>
            <w:tcW w:w="8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教授</w:t>
            </w:r>
          </w:p>
        </w:tc>
        <w:tc>
          <w:tcPr>
            <w:tcW w:w="122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华东师范大学</w:t>
            </w:r>
          </w:p>
        </w:tc>
        <w:tc>
          <w:tcPr>
            <w:tcW w:w="122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地图学与GIS</w:t>
            </w:r>
          </w:p>
        </w:tc>
        <w:tc>
          <w:tcPr>
            <w:tcW w:w="1226"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博士</w:t>
            </w:r>
          </w:p>
        </w:tc>
        <w:tc>
          <w:tcPr>
            <w:tcW w:w="90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数字创新与低碳经济</w:t>
            </w:r>
          </w:p>
        </w:tc>
        <w:tc>
          <w:tcPr>
            <w:tcW w:w="58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9" w:hRule="atLeast"/>
          <w:jc w:val="center"/>
        </w:trPr>
        <w:tc>
          <w:tcPr>
            <w:tcW w:w="859"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王卫则</w:t>
            </w:r>
          </w:p>
        </w:tc>
        <w:tc>
          <w:tcPr>
            <w:tcW w:w="44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男</w:t>
            </w:r>
          </w:p>
        </w:tc>
        <w:tc>
          <w:tcPr>
            <w:tcW w:w="9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1976-09</w:t>
            </w:r>
          </w:p>
        </w:tc>
        <w:tc>
          <w:tcPr>
            <w:tcW w:w="125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大数据与经济决策</w:t>
            </w:r>
          </w:p>
        </w:tc>
        <w:tc>
          <w:tcPr>
            <w:tcW w:w="8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教授</w:t>
            </w:r>
          </w:p>
        </w:tc>
        <w:tc>
          <w:tcPr>
            <w:tcW w:w="122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东南大学</w:t>
            </w:r>
          </w:p>
        </w:tc>
        <w:tc>
          <w:tcPr>
            <w:tcW w:w="122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管理科学与工程</w:t>
            </w:r>
          </w:p>
        </w:tc>
        <w:tc>
          <w:tcPr>
            <w:tcW w:w="1226"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博士</w:t>
            </w:r>
          </w:p>
        </w:tc>
        <w:tc>
          <w:tcPr>
            <w:tcW w:w="90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数字经济决策分析</w:t>
            </w:r>
          </w:p>
        </w:tc>
        <w:tc>
          <w:tcPr>
            <w:tcW w:w="58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859"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戴其文</w:t>
            </w:r>
          </w:p>
        </w:tc>
        <w:tc>
          <w:tcPr>
            <w:tcW w:w="44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男</w:t>
            </w:r>
          </w:p>
        </w:tc>
        <w:tc>
          <w:tcPr>
            <w:tcW w:w="9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1985-10</w:t>
            </w:r>
          </w:p>
        </w:tc>
        <w:tc>
          <w:tcPr>
            <w:tcW w:w="1253" w:type="dxa"/>
            <w:vAlign w:val="center"/>
          </w:tcPr>
          <w:p>
            <w:pPr>
              <w:widowControl/>
              <w:textAlignment w:val="center"/>
              <w:rPr>
                <w:rFonts w:hint="eastAsia" w:ascii="宋体" w:hAnsi="宋体" w:cs="宋体"/>
                <w:color w:val="000000"/>
                <w:sz w:val="24"/>
              </w:rPr>
            </w:pPr>
            <w:r>
              <w:rPr>
                <w:rFonts w:hint="eastAsia" w:ascii="宋体" w:hAnsi="宋体" w:cs="宋体"/>
                <w:color w:val="000000"/>
                <w:sz w:val="24"/>
              </w:rPr>
              <w:t>数字政府与社会</w:t>
            </w:r>
          </w:p>
        </w:tc>
        <w:tc>
          <w:tcPr>
            <w:tcW w:w="8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教授</w:t>
            </w:r>
          </w:p>
        </w:tc>
        <w:tc>
          <w:tcPr>
            <w:tcW w:w="122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华东师范大学</w:t>
            </w:r>
          </w:p>
        </w:tc>
        <w:tc>
          <w:tcPr>
            <w:tcW w:w="122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地理学</w:t>
            </w:r>
          </w:p>
        </w:tc>
        <w:tc>
          <w:tcPr>
            <w:tcW w:w="1226"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博士</w:t>
            </w:r>
          </w:p>
        </w:tc>
        <w:tc>
          <w:tcPr>
            <w:tcW w:w="90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数绿协同</w:t>
            </w:r>
          </w:p>
        </w:tc>
        <w:tc>
          <w:tcPr>
            <w:tcW w:w="58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859"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李强谊</w:t>
            </w:r>
          </w:p>
        </w:tc>
        <w:tc>
          <w:tcPr>
            <w:tcW w:w="44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男</w:t>
            </w:r>
          </w:p>
        </w:tc>
        <w:tc>
          <w:tcPr>
            <w:tcW w:w="9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1986-09</w:t>
            </w:r>
          </w:p>
        </w:tc>
        <w:tc>
          <w:tcPr>
            <w:tcW w:w="125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人工智能与产业发展</w:t>
            </w:r>
          </w:p>
        </w:tc>
        <w:tc>
          <w:tcPr>
            <w:tcW w:w="8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教授</w:t>
            </w:r>
          </w:p>
        </w:tc>
        <w:tc>
          <w:tcPr>
            <w:tcW w:w="122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武汉大学</w:t>
            </w:r>
          </w:p>
        </w:tc>
        <w:tc>
          <w:tcPr>
            <w:tcW w:w="122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人口、资源与环境经济学</w:t>
            </w:r>
          </w:p>
        </w:tc>
        <w:tc>
          <w:tcPr>
            <w:tcW w:w="1226"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博士</w:t>
            </w:r>
          </w:p>
        </w:tc>
        <w:tc>
          <w:tcPr>
            <w:tcW w:w="90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数字经济与高质量发展</w:t>
            </w:r>
          </w:p>
        </w:tc>
        <w:tc>
          <w:tcPr>
            <w:tcW w:w="58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859"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罗宇溪</w:t>
            </w:r>
          </w:p>
        </w:tc>
        <w:tc>
          <w:tcPr>
            <w:tcW w:w="44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男</w:t>
            </w:r>
          </w:p>
        </w:tc>
        <w:tc>
          <w:tcPr>
            <w:tcW w:w="9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1985-05</w:t>
            </w:r>
          </w:p>
        </w:tc>
        <w:tc>
          <w:tcPr>
            <w:tcW w:w="125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中国—东盟数字经济产业合作专题</w:t>
            </w:r>
          </w:p>
        </w:tc>
        <w:tc>
          <w:tcPr>
            <w:tcW w:w="8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副教授</w:t>
            </w:r>
          </w:p>
        </w:tc>
        <w:tc>
          <w:tcPr>
            <w:tcW w:w="122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奥本大学（美国）</w:t>
            </w:r>
          </w:p>
        </w:tc>
        <w:tc>
          <w:tcPr>
            <w:tcW w:w="122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应用经济学</w:t>
            </w:r>
          </w:p>
        </w:tc>
        <w:tc>
          <w:tcPr>
            <w:tcW w:w="1226"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博士</w:t>
            </w:r>
          </w:p>
        </w:tc>
        <w:tc>
          <w:tcPr>
            <w:tcW w:w="90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数字经济与空间分析</w:t>
            </w:r>
          </w:p>
        </w:tc>
        <w:tc>
          <w:tcPr>
            <w:tcW w:w="58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9" w:hRule="atLeast"/>
          <w:jc w:val="center"/>
        </w:trPr>
        <w:tc>
          <w:tcPr>
            <w:tcW w:w="859"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孟德峰</w:t>
            </w:r>
          </w:p>
        </w:tc>
        <w:tc>
          <w:tcPr>
            <w:tcW w:w="44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男</w:t>
            </w:r>
          </w:p>
        </w:tc>
        <w:tc>
          <w:tcPr>
            <w:tcW w:w="9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1976-07</w:t>
            </w:r>
          </w:p>
        </w:tc>
        <w:tc>
          <w:tcPr>
            <w:tcW w:w="125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Python数据分析</w:t>
            </w:r>
          </w:p>
        </w:tc>
        <w:tc>
          <w:tcPr>
            <w:tcW w:w="8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副教授</w:t>
            </w:r>
          </w:p>
        </w:tc>
        <w:tc>
          <w:tcPr>
            <w:tcW w:w="122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中南财经政法大学</w:t>
            </w:r>
          </w:p>
        </w:tc>
        <w:tc>
          <w:tcPr>
            <w:tcW w:w="122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数量经济学</w:t>
            </w:r>
          </w:p>
        </w:tc>
        <w:tc>
          <w:tcPr>
            <w:tcW w:w="1226"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博士</w:t>
            </w:r>
          </w:p>
        </w:tc>
        <w:tc>
          <w:tcPr>
            <w:tcW w:w="90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数字经济计量分析</w:t>
            </w:r>
          </w:p>
        </w:tc>
        <w:tc>
          <w:tcPr>
            <w:tcW w:w="58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859"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单俊辉</w:t>
            </w:r>
          </w:p>
        </w:tc>
        <w:tc>
          <w:tcPr>
            <w:tcW w:w="44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男</w:t>
            </w:r>
          </w:p>
        </w:tc>
        <w:tc>
          <w:tcPr>
            <w:tcW w:w="9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1983-10</w:t>
            </w:r>
          </w:p>
        </w:tc>
        <w:tc>
          <w:tcPr>
            <w:tcW w:w="125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金融学</w:t>
            </w:r>
          </w:p>
        </w:tc>
        <w:tc>
          <w:tcPr>
            <w:tcW w:w="8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副教授</w:t>
            </w:r>
          </w:p>
        </w:tc>
        <w:tc>
          <w:tcPr>
            <w:tcW w:w="122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南开大学</w:t>
            </w:r>
          </w:p>
        </w:tc>
        <w:tc>
          <w:tcPr>
            <w:tcW w:w="122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金融学</w:t>
            </w:r>
          </w:p>
        </w:tc>
        <w:tc>
          <w:tcPr>
            <w:tcW w:w="1226"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博士</w:t>
            </w:r>
          </w:p>
        </w:tc>
        <w:tc>
          <w:tcPr>
            <w:tcW w:w="90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数字金融</w:t>
            </w:r>
          </w:p>
        </w:tc>
        <w:tc>
          <w:tcPr>
            <w:tcW w:w="58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859"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吴方</w:t>
            </w:r>
          </w:p>
        </w:tc>
        <w:tc>
          <w:tcPr>
            <w:tcW w:w="44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男</w:t>
            </w:r>
          </w:p>
        </w:tc>
        <w:tc>
          <w:tcPr>
            <w:tcW w:w="9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1985-09</w:t>
            </w:r>
          </w:p>
        </w:tc>
        <w:tc>
          <w:tcPr>
            <w:tcW w:w="125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AI与当代经济</w:t>
            </w:r>
          </w:p>
        </w:tc>
        <w:tc>
          <w:tcPr>
            <w:tcW w:w="8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副教授</w:t>
            </w:r>
          </w:p>
        </w:tc>
        <w:tc>
          <w:tcPr>
            <w:tcW w:w="122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武汉大学</w:t>
            </w:r>
          </w:p>
        </w:tc>
        <w:tc>
          <w:tcPr>
            <w:tcW w:w="122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西方经济学</w:t>
            </w:r>
          </w:p>
        </w:tc>
        <w:tc>
          <w:tcPr>
            <w:tcW w:w="1226"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博士</w:t>
            </w:r>
          </w:p>
        </w:tc>
        <w:tc>
          <w:tcPr>
            <w:tcW w:w="90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智慧农业经济</w:t>
            </w:r>
          </w:p>
        </w:tc>
        <w:tc>
          <w:tcPr>
            <w:tcW w:w="58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859"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罗艳</w:t>
            </w:r>
          </w:p>
        </w:tc>
        <w:tc>
          <w:tcPr>
            <w:tcW w:w="44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女</w:t>
            </w:r>
          </w:p>
        </w:tc>
        <w:tc>
          <w:tcPr>
            <w:tcW w:w="9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1987-07</w:t>
            </w:r>
          </w:p>
        </w:tc>
        <w:tc>
          <w:tcPr>
            <w:tcW w:w="125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财政学</w:t>
            </w:r>
          </w:p>
        </w:tc>
        <w:tc>
          <w:tcPr>
            <w:tcW w:w="8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副教授</w:t>
            </w:r>
          </w:p>
        </w:tc>
        <w:tc>
          <w:tcPr>
            <w:tcW w:w="122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中南财经政法大学</w:t>
            </w:r>
          </w:p>
        </w:tc>
        <w:tc>
          <w:tcPr>
            <w:tcW w:w="122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财政学</w:t>
            </w:r>
          </w:p>
        </w:tc>
        <w:tc>
          <w:tcPr>
            <w:tcW w:w="1226"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博士</w:t>
            </w:r>
          </w:p>
        </w:tc>
        <w:tc>
          <w:tcPr>
            <w:tcW w:w="90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数字经济与绿色发展</w:t>
            </w:r>
          </w:p>
        </w:tc>
        <w:tc>
          <w:tcPr>
            <w:tcW w:w="58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9" w:hRule="atLeast"/>
          <w:jc w:val="center"/>
        </w:trPr>
        <w:tc>
          <w:tcPr>
            <w:tcW w:w="859"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罗明</w:t>
            </w:r>
          </w:p>
        </w:tc>
        <w:tc>
          <w:tcPr>
            <w:tcW w:w="44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男</w:t>
            </w:r>
          </w:p>
        </w:tc>
        <w:tc>
          <w:tcPr>
            <w:tcW w:w="9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1989-08</w:t>
            </w:r>
          </w:p>
        </w:tc>
        <w:tc>
          <w:tcPr>
            <w:tcW w:w="1253" w:type="dxa"/>
            <w:vAlign w:val="center"/>
          </w:tcPr>
          <w:p>
            <w:pPr>
              <w:widowControl/>
              <w:textAlignment w:val="center"/>
              <w:rPr>
                <w:rFonts w:hint="eastAsia" w:ascii="宋体" w:hAnsi="宋体" w:cs="宋体"/>
                <w:color w:val="000000"/>
                <w:sz w:val="24"/>
              </w:rPr>
            </w:pPr>
            <w:r>
              <w:rPr>
                <w:rFonts w:hint="eastAsia" w:ascii="宋体" w:hAnsi="宋体" w:cs="宋体"/>
                <w:color w:val="000000"/>
                <w:sz w:val="24"/>
              </w:rPr>
              <w:t>机器学习与因果推断</w:t>
            </w:r>
          </w:p>
        </w:tc>
        <w:tc>
          <w:tcPr>
            <w:tcW w:w="8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副教授</w:t>
            </w:r>
          </w:p>
        </w:tc>
        <w:tc>
          <w:tcPr>
            <w:tcW w:w="122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武汉大学</w:t>
            </w:r>
          </w:p>
        </w:tc>
        <w:tc>
          <w:tcPr>
            <w:tcW w:w="122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管理科学与工程</w:t>
            </w:r>
          </w:p>
        </w:tc>
        <w:tc>
          <w:tcPr>
            <w:tcW w:w="1226"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博士</w:t>
            </w:r>
          </w:p>
        </w:tc>
        <w:tc>
          <w:tcPr>
            <w:tcW w:w="90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数字经济系统分析</w:t>
            </w:r>
          </w:p>
        </w:tc>
        <w:tc>
          <w:tcPr>
            <w:tcW w:w="58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859"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马国群</w:t>
            </w:r>
          </w:p>
        </w:tc>
        <w:tc>
          <w:tcPr>
            <w:tcW w:w="44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男</w:t>
            </w:r>
          </w:p>
        </w:tc>
        <w:tc>
          <w:tcPr>
            <w:tcW w:w="9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1992-07</w:t>
            </w:r>
          </w:p>
        </w:tc>
        <w:tc>
          <w:tcPr>
            <w:tcW w:w="125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平台经济学</w:t>
            </w:r>
          </w:p>
        </w:tc>
        <w:tc>
          <w:tcPr>
            <w:tcW w:w="8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副教授</w:t>
            </w:r>
          </w:p>
        </w:tc>
        <w:tc>
          <w:tcPr>
            <w:tcW w:w="122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华南农业大学</w:t>
            </w:r>
          </w:p>
        </w:tc>
        <w:tc>
          <w:tcPr>
            <w:tcW w:w="122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农业经济管理</w:t>
            </w:r>
          </w:p>
        </w:tc>
        <w:tc>
          <w:tcPr>
            <w:tcW w:w="1226"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博士</w:t>
            </w:r>
          </w:p>
        </w:tc>
        <w:tc>
          <w:tcPr>
            <w:tcW w:w="90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数字农业经济</w:t>
            </w:r>
          </w:p>
        </w:tc>
        <w:tc>
          <w:tcPr>
            <w:tcW w:w="58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859"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刘津</w:t>
            </w:r>
          </w:p>
        </w:tc>
        <w:tc>
          <w:tcPr>
            <w:tcW w:w="44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男</w:t>
            </w:r>
          </w:p>
        </w:tc>
        <w:tc>
          <w:tcPr>
            <w:tcW w:w="9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1992-07</w:t>
            </w:r>
          </w:p>
        </w:tc>
        <w:tc>
          <w:tcPr>
            <w:tcW w:w="125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数字经济治理与监管</w:t>
            </w:r>
          </w:p>
        </w:tc>
        <w:tc>
          <w:tcPr>
            <w:tcW w:w="8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副教授</w:t>
            </w:r>
          </w:p>
        </w:tc>
        <w:tc>
          <w:tcPr>
            <w:tcW w:w="122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中国社会科学院大学</w:t>
            </w:r>
          </w:p>
        </w:tc>
        <w:tc>
          <w:tcPr>
            <w:tcW w:w="122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经济思想史</w:t>
            </w:r>
          </w:p>
        </w:tc>
        <w:tc>
          <w:tcPr>
            <w:tcW w:w="1226"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博士</w:t>
            </w:r>
          </w:p>
        </w:tc>
        <w:tc>
          <w:tcPr>
            <w:tcW w:w="90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数字治理与经济发展</w:t>
            </w:r>
          </w:p>
        </w:tc>
        <w:tc>
          <w:tcPr>
            <w:tcW w:w="58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859"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张柳钦</w:t>
            </w:r>
          </w:p>
        </w:tc>
        <w:tc>
          <w:tcPr>
            <w:tcW w:w="44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男</w:t>
            </w:r>
          </w:p>
        </w:tc>
        <w:tc>
          <w:tcPr>
            <w:tcW w:w="9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1994-12</w:t>
            </w:r>
          </w:p>
        </w:tc>
        <w:tc>
          <w:tcPr>
            <w:tcW w:w="125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信息经济学</w:t>
            </w:r>
          </w:p>
        </w:tc>
        <w:tc>
          <w:tcPr>
            <w:tcW w:w="8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副教授</w:t>
            </w:r>
          </w:p>
        </w:tc>
        <w:tc>
          <w:tcPr>
            <w:tcW w:w="122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中央财经大学</w:t>
            </w:r>
          </w:p>
        </w:tc>
        <w:tc>
          <w:tcPr>
            <w:tcW w:w="122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西方经济学</w:t>
            </w:r>
          </w:p>
        </w:tc>
        <w:tc>
          <w:tcPr>
            <w:tcW w:w="1226"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博士</w:t>
            </w:r>
          </w:p>
        </w:tc>
        <w:tc>
          <w:tcPr>
            <w:tcW w:w="90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数字创新创业</w:t>
            </w:r>
          </w:p>
        </w:tc>
        <w:tc>
          <w:tcPr>
            <w:tcW w:w="58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859"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蒋凌琳</w:t>
            </w:r>
          </w:p>
        </w:tc>
        <w:tc>
          <w:tcPr>
            <w:tcW w:w="44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女</w:t>
            </w:r>
          </w:p>
        </w:tc>
        <w:tc>
          <w:tcPr>
            <w:tcW w:w="9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1977-10</w:t>
            </w:r>
          </w:p>
        </w:tc>
        <w:tc>
          <w:tcPr>
            <w:tcW w:w="125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数据库基础</w:t>
            </w:r>
          </w:p>
        </w:tc>
        <w:tc>
          <w:tcPr>
            <w:tcW w:w="8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讲师</w:t>
            </w:r>
          </w:p>
        </w:tc>
        <w:tc>
          <w:tcPr>
            <w:tcW w:w="122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广西师范大学</w:t>
            </w:r>
          </w:p>
        </w:tc>
        <w:tc>
          <w:tcPr>
            <w:tcW w:w="122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计算机软件与理论</w:t>
            </w:r>
          </w:p>
        </w:tc>
        <w:tc>
          <w:tcPr>
            <w:tcW w:w="1226"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硕士</w:t>
            </w:r>
          </w:p>
        </w:tc>
        <w:tc>
          <w:tcPr>
            <w:tcW w:w="90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数字管理信息系统</w:t>
            </w:r>
          </w:p>
        </w:tc>
        <w:tc>
          <w:tcPr>
            <w:tcW w:w="58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859"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闫海春</w:t>
            </w:r>
          </w:p>
        </w:tc>
        <w:tc>
          <w:tcPr>
            <w:tcW w:w="44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男</w:t>
            </w:r>
          </w:p>
        </w:tc>
        <w:tc>
          <w:tcPr>
            <w:tcW w:w="9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1978-09</w:t>
            </w:r>
          </w:p>
        </w:tc>
        <w:tc>
          <w:tcPr>
            <w:tcW w:w="125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大模型应用</w:t>
            </w:r>
          </w:p>
        </w:tc>
        <w:tc>
          <w:tcPr>
            <w:tcW w:w="8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讲师</w:t>
            </w:r>
          </w:p>
        </w:tc>
        <w:tc>
          <w:tcPr>
            <w:tcW w:w="122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吉林大学</w:t>
            </w:r>
          </w:p>
        </w:tc>
        <w:tc>
          <w:tcPr>
            <w:tcW w:w="122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数量经济学</w:t>
            </w:r>
          </w:p>
        </w:tc>
        <w:tc>
          <w:tcPr>
            <w:tcW w:w="1226"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博士</w:t>
            </w:r>
          </w:p>
        </w:tc>
        <w:tc>
          <w:tcPr>
            <w:tcW w:w="90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数字宏观经济分析</w:t>
            </w:r>
          </w:p>
        </w:tc>
        <w:tc>
          <w:tcPr>
            <w:tcW w:w="58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859"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杨路英</w:t>
            </w:r>
          </w:p>
        </w:tc>
        <w:tc>
          <w:tcPr>
            <w:tcW w:w="44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女</w:t>
            </w:r>
          </w:p>
        </w:tc>
        <w:tc>
          <w:tcPr>
            <w:tcW w:w="9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1980-03</w:t>
            </w:r>
          </w:p>
        </w:tc>
        <w:tc>
          <w:tcPr>
            <w:tcW w:w="125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大数据可视化</w:t>
            </w:r>
          </w:p>
        </w:tc>
        <w:tc>
          <w:tcPr>
            <w:tcW w:w="8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讲师</w:t>
            </w:r>
          </w:p>
        </w:tc>
        <w:tc>
          <w:tcPr>
            <w:tcW w:w="122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华东理工大学</w:t>
            </w:r>
          </w:p>
        </w:tc>
        <w:tc>
          <w:tcPr>
            <w:tcW w:w="122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应用经济学</w:t>
            </w:r>
          </w:p>
        </w:tc>
        <w:tc>
          <w:tcPr>
            <w:tcW w:w="1226"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博士</w:t>
            </w:r>
          </w:p>
        </w:tc>
        <w:tc>
          <w:tcPr>
            <w:tcW w:w="90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数字经济空间分析</w:t>
            </w:r>
          </w:p>
        </w:tc>
        <w:tc>
          <w:tcPr>
            <w:tcW w:w="58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859"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傅泽平</w:t>
            </w:r>
          </w:p>
        </w:tc>
        <w:tc>
          <w:tcPr>
            <w:tcW w:w="44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女</w:t>
            </w:r>
          </w:p>
        </w:tc>
        <w:tc>
          <w:tcPr>
            <w:tcW w:w="9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1981-06</w:t>
            </w:r>
          </w:p>
        </w:tc>
        <w:tc>
          <w:tcPr>
            <w:tcW w:w="125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数据要素理论与实践</w:t>
            </w:r>
          </w:p>
        </w:tc>
        <w:tc>
          <w:tcPr>
            <w:tcW w:w="8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讲师</w:t>
            </w:r>
          </w:p>
        </w:tc>
        <w:tc>
          <w:tcPr>
            <w:tcW w:w="122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武汉大学</w:t>
            </w:r>
          </w:p>
        </w:tc>
        <w:tc>
          <w:tcPr>
            <w:tcW w:w="122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信息资源管理</w:t>
            </w:r>
          </w:p>
        </w:tc>
        <w:tc>
          <w:tcPr>
            <w:tcW w:w="1226"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博士</w:t>
            </w:r>
          </w:p>
        </w:tc>
        <w:tc>
          <w:tcPr>
            <w:tcW w:w="90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数字信息资源管理</w:t>
            </w:r>
          </w:p>
        </w:tc>
        <w:tc>
          <w:tcPr>
            <w:tcW w:w="58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859"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李建生</w:t>
            </w:r>
          </w:p>
        </w:tc>
        <w:tc>
          <w:tcPr>
            <w:tcW w:w="44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男</w:t>
            </w:r>
          </w:p>
        </w:tc>
        <w:tc>
          <w:tcPr>
            <w:tcW w:w="9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1984-02</w:t>
            </w:r>
          </w:p>
        </w:tc>
        <w:tc>
          <w:tcPr>
            <w:tcW w:w="125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数字贸易</w:t>
            </w:r>
          </w:p>
        </w:tc>
        <w:tc>
          <w:tcPr>
            <w:tcW w:w="8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讲师</w:t>
            </w:r>
          </w:p>
        </w:tc>
        <w:tc>
          <w:tcPr>
            <w:tcW w:w="122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中央财经大学</w:t>
            </w:r>
          </w:p>
        </w:tc>
        <w:tc>
          <w:tcPr>
            <w:tcW w:w="122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国际贸易学</w:t>
            </w:r>
          </w:p>
        </w:tc>
        <w:tc>
          <w:tcPr>
            <w:tcW w:w="1226"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博士</w:t>
            </w:r>
          </w:p>
        </w:tc>
        <w:tc>
          <w:tcPr>
            <w:tcW w:w="90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数字贸易与数字治理</w:t>
            </w:r>
          </w:p>
        </w:tc>
        <w:tc>
          <w:tcPr>
            <w:tcW w:w="58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859"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王丹</w:t>
            </w:r>
          </w:p>
        </w:tc>
        <w:tc>
          <w:tcPr>
            <w:tcW w:w="44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女</w:t>
            </w:r>
          </w:p>
        </w:tc>
        <w:tc>
          <w:tcPr>
            <w:tcW w:w="9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1991-11</w:t>
            </w:r>
          </w:p>
        </w:tc>
        <w:tc>
          <w:tcPr>
            <w:tcW w:w="125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数据结构与算法</w:t>
            </w:r>
          </w:p>
        </w:tc>
        <w:tc>
          <w:tcPr>
            <w:tcW w:w="8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讲师</w:t>
            </w:r>
          </w:p>
        </w:tc>
        <w:tc>
          <w:tcPr>
            <w:tcW w:w="122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西安电子科技大学</w:t>
            </w:r>
          </w:p>
        </w:tc>
        <w:tc>
          <w:tcPr>
            <w:tcW w:w="122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管理科学与工程</w:t>
            </w:r>
          </w:p>
        </w:tc>
        <w:tc>
          <w:tcPr>
            <w:tcW w:w="1226"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博士</w:t>
            </w:r>
          </w:p>
        </w:tc>
        <w:tc>
          <w:tcPr>
            <w:tcW w:w="90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数字经济技术分析与应用</w:t>
            </w:r>
          </w:p>
        </w:tc>
        <w:tc>
          <w:tcPr>
            <w:tcW w:w="58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859"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白雪冰</w:t>
            </w:r>
          </w:p>
        </w:tc>
        <w:tc>
          <w:tcPr>
            <w:tcW w:w="44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男</w:t>
            </w:r>
          </w:p>
        </w:tc>
        <w:tc>
          <w:tcPr>
            <w:tcW w:w="9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1993-01</w:t>
            </w:r>
          </w:p>
        </w:tc>
        <w:tc>
          <w:tcPr>
            <w:tcW w:w="125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数字经济创新实践</w:t>
            </w:r>
          </w:p>
        </w:tc>
        <w:tc>
          <w:tcPr>
            <w:tcW w:w="8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讲师</w:t>
            </w:r>
          </w:p>
        </w:tc>
        <w:tc>
          <w:tcPr>
            <w:tcW w:w="122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南京农业大学</w:t>
            </w:r>
          </w:p>
        </w:tc>
        <w:tc>
          <w:tcPr>
            <w:tcW w:w="122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农村与区域发展</w:t>
            </w:r>
          </w:p>
        </w:tc>
        <w:tc>
          <w:tcPr>
            <w:tcW w:w="1226"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博士</w:t>
            </w:r>
          </w:p>
        </w:tc>
        <w:tc>
          <w:tcPr>
            <w:tcW w:w="90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数字农业与乡村治理</w:t>
            </w:r>
          </w:p>
        </w:tc>
        <w:tc>
          <w:tcPr>
            <w:tcW w:w="58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859"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姚利好</w:t>
            </w:r>
          </w:p>
        </w:tc>
        <w:tc>
          <w:tcPr>
            <w:tcW w:w="44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女</w:t>
            </w:r>
          </w:p>
        </w:tc>
        <w:tc>
          <w:tcPr>
            <w:tcW w:w="9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1995-11</w:t>
            </w:r>
          </w:p>
        </w:tc>
        <w:tc>
          <w:tcPr>
            <w:tcW w:w="125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数据资产</w:t>
            </w:r>
          </w:p>
        </w:tc>
        <w:tc>
          <w:tcPr>
            <w:tcW w:w="8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讲师</w:t>
            </w:r>
          </w:p>
        </w:tc>
        <w:tc>
          <w:tcPr>
            <w:tcW w:w="122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华南农业大学</w:t>
            </w:r>
          </w:p>
        </w:tc>
        <w:tc>
          <w:tcPr>
            <w:tcW w:w="122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农林经济管理</w:t>
            </w:r>
          </w:p>
        </w:tc>
        <w:tc>
          <w:tcPr>
            <w:tcW w:w="1226"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博士</w:t>
            </w:r>
          </w:p>
        </w:tc>
        <w:tc>
          <w:tcPr>
            <w:tcW w:w="90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数字农林经济</w:t>
            </w:r>
          </w:p>
        </w:tc>
        <w:tc>
          <w:tcPr>
            <w:tcW w:w="58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859"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吴静</w:t>
            </w:r>
          </w:p>
        </w:tc>
        <w:tc>
          <w:tcPr>
            <w:tcW w:w="44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女</w:t>
            </w:r>
          </w:p>
        </w:tc>
        <w:tc>
          <w:tcPr>
            <w:tcW w:w="9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1977-07</w:t>
            </w:r>
          </w:p>
        </w:tc>
        <w:tc>
          <w:tcPr>
            <w:tcW w:w="125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中国数字经济发展专题</w:t>
            </w:r>
          </w:p>
        </w:tc>
        <w:tc>
          <w:tcPr>
            <w:tcW w:w="8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高级会计师</w:t>
            </w:r>
          </w:p>
        </w:tc>
        <w:tc>
          <w:tcPr>
            <w:tcW w:w="122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澳门科技大学</w:t>
            </w:r>
          </w:p>
        </w:tc>
        <w:tc>
          <w:tcPr>
            <w:tcW w:w="122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工商管理学</w:t>
            </w:r>
          </w:p>
        </w:tc>
        <w:tc>
          <w:tcPr>
            <w:tcW w:w="1226"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博士</w:t>
            </w:r>
          </w:p>
        </w:tc>
        <w:tc>
          <w:tcPr>
            <w:tcW w:w="90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企业数字化转型与财务管控</w:t>
            </w:r>
          </w:p>
        </w:tc>
        <w:tc>
          <w:tcPr>
            <w:tcW w:w="58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兼职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859"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丁俊峰</w:t>
            </w:r>
          </w:p>
        </w:tc>
        <w:tc>
          <w:tcPr>
            <w:tcW w:w="44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男</w:t>
            </w:r>
          </w:p>
        </w:tc>
        <w:tc>
          <w:tcPr>
            <w:tcW w:w="9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1968-08</w:t>
            </w:r>
          </w:p>
        </w:tc>
        <w:tc>
          <w:tcPr>
            <w:tcW w:w="125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数字金融与金融科技</w:t>
            </w:r>
          </w:p>
        </w:tc>
        <w:tc>
          <w:tcPr>
            <w:tcW w:w="8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教授</w:t>
            </w:r>
          </w:p>
        </w:tc>
        <w:tc>
          <w:tcPr>
            <w:tcW w:w="122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江西财经大学</w:t>
            </w:r>
          </w:p>
        </w:tc>
        <w:tc>
          <w:tcPr>
            <w:tcW w:w="122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经济学</w:t>
            </w:r>
          </w:p>
        </w:tc>
        <w:tc>
          <w:tcPr>
            <w:tcW w:w="1226"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博士</w:t>
            </w:r>
          </w:p>
        </w:tc>
        <w:tc>
          <w:tcPr>
            <w:tcW w:w="90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数字金融与监管</w:t>
            </w:r>
          </w:p>
        </w:tc>
        <w:tc>
          <w:tcPr>
            <w:tcW w:w="58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兼职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859"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贺轶</w:t>
            </w:r>
          </w:p>
        </w:tc>
        <w:tc>
          <w:tcPr>
            <w:tcW w:w="44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男</w:t>
            </w:r>
          </w:p>
        </w:tc>
        <w:tc>
          <w:tcPr>
            <w:tcW w:w="9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1969-06</w:t>
            </w:r>
          </w:p>
        </w:tc>
        <w:tc>
          <w:tcPr>
            <w:tcW w:w="125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数字贸易实务与规则</w:t>
            </w:r>
          </w:p>
        </w:tc>
        <w:tc>
          <w:tcPr>
            <w:tcW w:w="83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高级经济师</w:t>
            </w:r>
          </w:p>
        </w:tc>
        <w:tc>
          <w:tcPr>
            <w:tcW w:w="122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武汉科技大学</w:t>
            </w:r>
          </w:p>
        </w:tc>
        <w:tc>
          <w:tcPr>
            <w:tcW w:w="122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工业管理工程</w:t>
            </w:r>
          </w:p>
        </w:tc>
        <w:tc>
          <w:tcPr>
            <w:tcW w:w="1226"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学士</w:t>
            </w:r>
          </w:p>
        </w:tc>
        <w:tc>
          <w:tcPr>
            <w:tcW w:w="903"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跨境数字贸易</w:t>
            </w:r>
          </w:p>
        </w:tc>
        <w:tc>
          <w:tcPr>
            <w:tcW w:w="585" w:type="dxa"/>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兼职</w:t>
            </w:r>
          </w:p>
        </w:tc>
      </w:tr>
    </w:tbl>
    <w:p>
      <w:pPr>
        <w:tabs>
          <w:tab w:val="left" w:pos="714"/>
        </w:tabs>
        <w:autoSpaceDE w:val="0"/>
        <w:autoSpaceDN w:val="0"/>
        <w:spacing w:line="484" w:lineRule="exact"/>
        <w:rPr>
          <w:rFonts w:ascii="Times New Roman" w:hAnsi="Times New Roman"/>
          <w:kern w:val="0"/>
          <w:sz w:val="28"/>
          <w:szCs w:val="22"/>
          <w:lang w:bidi="zh-CN"/>
        </w:rPr>
      </w:pPr>
    </w:p>
    <w:p>
      <w:pPr>
        <w:tabs>
          <w:tab w:val="left" w:pos="714"/>
        </w:tabs>
        <w:autoSpaceDE w:val="0"/>
        <w:autoSpaceDN w:val="0"/>
        <w:spacing w:line="484" w:lineRule="exact"/>
        <w:rPr>
          <w:rFonts w:hint="eastAsia" w:ascii="宋体" w:hAnsi="宋体"/>
          <w:kern w:val="0"/>
          <w:sz w:val="28"/>
          <w:szCs w:val="22"/>
          <w:lang w:val="zh-CN" w:bidi="zh-CN"/>
        </w:rPr>
      </w:pPr>
      <w:r>
        <w:rPr>
          <w:rFonts w:hint="eastAsia" w:ascii="Times New Roman" w:hAnsi="Times New Roman"/>
          <w:kern w:val="0"/>
          <w:sz w:val="28"/>
          <w:szCs w:val="22"/>
          <w:lang w:bidi="zh-CN"/>
        </w:rPr>
        <w:t>5</w:t>
      </w:r>
      <w:r>
        <w:rPr>
          <w:rFonts w:ascii="Times New Roman" w:hAnsi="Times New Roman"/>
          <w:kern w:val="0"/>
          <w:sz w:val="28"/>
          <w:szCs w:val="22"/>
          <w:lang w:val="zh-CN" w:bidi="zh-CN"/>
        </w:rPr>
        <w:t>.3</w:t>
      </w:r>
      <w:r>
        <w:rPr>
          <w:rFonts w:ascii="宋体" w:hAnsi="宋体"/>
          <w:kern w:val="0"/>
          <w:sz w:val="28"/>
          <w:szCs w:val="22"/>
          <w:lang w:val="zh-CN" w:bidi="zh-CN"/>
        </w:rPr>
        <w:t>专业核心课程表</w:t>
      </w:r>
    </w:p>
    <w:tbl>
      <w:tblPr>
        <w:tblStyle w:val="40"/>
        <w:tblW w:w="95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48"/>
        <w:gridCol w:w="1287"/>
        <w:gridCol w:w="1097"/>
        <w:gridCol w:w="2343"/>
        <w:gridCol w:w="12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atLeast"/>
          <w:jc w:val="center"/>
        </w:trPr>
        <w:tc>
          <w:tcPr>
            <w:tcW w:w="3548" w:type="dxa"/>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课程名称</w:t>
            </w:r>
          </w:p>
        </w:tc>
        <w:tc>
          <w:tcPr>
            <w:tcW w:w="1287" w:type="dxa"/>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课程</w:t>
            </w:r>
          </w:p>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总学时</w:t>
            </w:r>
          </w:p>
        </w:tc>
        <w:tc>
          <w:tcPr>
            <w:tcW w:w="1097" w:type="dxa"/>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课程</w:t>
            </w:r>
          </w:p>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周学时</w:t>
            </w:r>
          </w:p>
        </w:tc>
        <w:tc>
          <w:tcPr>
            <w:tcW w:w="2343" w:type="dxa"/>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拟授课教师</w:t>
            </w:r>
          </w:p>
        </w:tc>
        <w:tc>
          <w:tcPr>
            <w:tcW w:w="1299" w:type="dxa"/>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授课学期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3548" w:type="dxa"/>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政治经济学</w:t>
            </w:r>
          </w:p>
        </w:tc>
        <w:tc>
          <w:tcPr>
            <w:tcW w:w="1287" w:type="dxa"/>
            <w:vAlign w:val="center"/>
          </w:tcPr>
          <w:p>
            <w:pPr>
              <w:autoSpaceDE w:val="0"/>
              <w:autoSpaceDN w:val="0"/>
              <w:spacing w:line="400" w:lineRule="exact"/>
              <w:jc w:val="center"/>
              <w:rPr>
                <w:rFonts w:hint="eastAsia" w:ascii="宋体" w:hAnsi="宋体"/>
                <w:sz w:val="24"/>
              </w:rPr>
            </w:pPr>
            <w:r>
              <w:rPr>
                <w:rFonts w:hint="eastAsia" w:ascii="宋体" w:hAnsi="宋体"/>
                <w:sz w:val="24"/>
              </w:rPr>
              <w:t>64</w:t>
            </w:r>
          </w:p>
        </w:tc>
        <w:tc>
          <w:tcPr>
            <w:tcW w:w="1097" w:type="dxa"/>
            <w:vAlign w:val="center"/>
          </w:tcPr>
          <w:p>
            <w:pPr>
              <w:autoSpaceDE w:val="0"/>
              <w:autoSpaceDN w:val="0"/>
              <w:spacing w:line="400" w:lineRule="exact"/>
              <w:jc w:val="center"/>
              <w:rPr>
                <w:rFonts w:hint="eastAsia" w:ascii="宋体" w:hAnsi="宋体"/>
                <w:sz w:val="24"/>
              </w:rPr>
            </w:pPr>
            <w:r>
              <w:rPr>
                <w:rFonts w:hint="eastAsia" w:ascii="宋体" w:hAnsi="宋体"/>
                <w:sz w:val="24"/>
              </w:rPr>
              <w:t>4</w:t>
            </w:r>
          </w:p>
        </w:tc>
        <w:tc>
          <w:tcPr>
            <w:tcW w:w="2343" w:type="dxa"/>
            <w:vAlign w:val="center"/>
          </w:tcPr>
          <w:p>
            <w:pPr>
              <w:autoSpaceDE w:val="0"/>
              <w:autoSpaceDN w:val="0"/>
              <w:spacing w:line="400" w:lineRule="exact"/>
              <w:jc w:val="center"/>
              <w:rPr>
                <w:rFonts w:hint="eastAsia" w:ascii="宋体" w:hAnsi="宋体"/>
                <w:sz w:val="24"/>
              </w:rPr>
            </w:pPr>
            <w:r>
              <w:rPr>
                <w:rFonts w:hint="eastAsia" w:ascii="宋体" w:hAnsi="宋体"/>
                <w:sz w:val="24"/>
              </w:rPr>
              <w:t>钟学思</w:t>
            </w:r>
          </w:p>
        </w:tc>
        <w:tc>
          <w:tcPr>
            <w:tcW w:w="1299" w:type="dxa"/>
            <w:vAlign w:val="center"/>
          </w:tcPr>
          <w:p>
            <w:pPr>
              <w:autoSpaceDE w:val="0"/>
              <w:autoSpaceDN w:val="0"/>
              <w:spacing w:line="400" w:lineRule="exact"/>
              <w:jc w:val="center"/>
              <w:rPr>
                <w:rFonts w:hint="eastAsia" w:ascii="宋体" w:hAnsi="宋体"/>
                <w:sz w:val="24"/>
              </w:rPr>
            </w:pPr>
            <w:r>
              <w:rPr>
                <w:rFonts w:hint="eastAsia" w:ascii="宋体" w:hAnsi="宋体"/>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3548" w:type="dxa"/>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习近平经济思想概论</w:t>
            </w:r>
          </w:p>
        </w:tc>
        <w:tc>
          <w:tcPr>
            <w:tcW w:w="1287" w:type="dxa"/>
            <w:vAlign w:val="center"/>
          </w:tcPr>
          <w:p>
            <w:pPr>
              <w:autoSpaceDE w:val="0"/>
              <w:autoSpaceDN w:val="0"/>
              <w:spacing w:line="400" w:lineRule="exact"/>
              <w:jc w:val="center"/>
              <w:rPr>
                <w:rFonts w:hint="eastAsia" w:ascii="宋体" w:hAnsi="宋体"/>
                <w:sz w:val="24"/>
              </w:rPr>
            </w:pPr>
            <w:r>
              <w:rPr>
                <w:rFonts w:hint="eastAsia" w:ascii="宋体" w:hAnsi="宋体"/>
                <w:sz w:val="24"/>
              </w:rPr>
              <w:t>32</w:t>
            </w:r>
          </w:p>
        </w:tc>
        <w:tc>
          <w:tcPr>
            <w:tcW w:w="1097" w:type="dxa"/>
            <w:vAlign w:val="center"/>
          </w:tcPr>
          <w:p>
            <w:pPr>
              <w:autoSpaceDE w:val="0"/>
              <w:autoSpaceDN w:val="0"/>
              <w:spacing w:line="400" w:lineRule="exact"/>
              <w:jc w:val="center"/>
              <w:rPr>
                <w:rFonts w:hint="eastAsia" w:ascii="宋体" w:hAnsi="宋体"/>
                <w:sz w:val="24"/>
              </w:rPr>
            </w:pPr>
            <w:r>
              <w:rPr>
                <w:rFonts w:hint="eastAsia" w:ascii="宋体" w:hAnsi="宋体"/>
                <w:sz w:val="24"/>
              </w:rPr>
              <w:t>2</w:t>
            </w:r>
          </w:p>
        </w:tc>
        <w:tc>
          <w:tcPr>
            <w:tcW w:w="2343" w:type="dxa"/>
            <w:vAlign w:val="center"/>
          </w:tcPr>
          <w:p>
            <w:pPr>
              <w:autoSpaceDE w:val="0"/>
              <w:autoSpaceDN w:val="0"/>
              <w:spacing w:line="400" w:lineRule="exact"/>
              <w:jc w:val="center"/>
              <w:rPr>
                <w:rFonts w:hint="eastAsia" w:ascii="宋体" w:hAnsi="宋体"/>
                <w:sz w:val="24"/>
              </w:rPr>
            </w:pPr>
            <w:r>
              <w:rPr>
                <w:rFonts w:hint="eastAsia" w:ascii="宋体" w:hAnsi="宋体"/>
                <w:sz w:val="24"/>
              </w:rPr>
              <w:t>蒋团标</w:t>
            </w:r>
          </w:p>
        </w:tc>
        <w:tc>
          <w:tcPr>
            <w:tcW w:w="1299" w:type="dxa"/>
            <w:vAlign w:val="center"/>
          </w:tcPr>
          <w:p>
            <w:pPr>
              <w:autoSpaceDE w:val="0"/>
              <w:autoSpaceDN w:val="0"/>
              <w:spacing w:line="400" w:lineRule="exact"/>
              <w:jc w:val="center"/>
              <w:rPr>
                <w:rFonts w:hint="eastAsia" w:ascii="宋体" w:hAnsi="宋体"/>
                <w:sz w:val="24"/>
              </w:rPr>
            </w:pPr>
            <w:r>
              <w:rPr>
                <w:rFonts w:hint="eastAsia" w:ascii="宋体" w:hAnsi="宋体"/>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jc w:val="center"/>
        </w:trPr>
        <w:tc>
          <w:tcPr>
            <w:tcW w:w="3548" w:type="dxa"/>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数字经济学</w:t>
            </w:r>
          </w:p>
        </w:tc>
        <w:tc>
          <w:tcPr>
            <w:tcW w:w="1287" w:type="dxa"/>
            <w:vAlign w:val="center"/>
          </w:tcPr>
          <w:p>
            <w:pPr>
              <w:autoSpaceDE w:val="0"/>
              <w:autoSpaceDN w:val="0"/>
              <w:spacing w:line="400" w:lineRule="exact"/>
              <w:jc w:val="center"/>
              <w:rPr>
                <w:rFonts w:hint="eastAsia" w:ascii="宋体" w:hAnsi="宋体"/>
                <w:sz w:val="24"/>
              </w:rPr>
            </w:pPr>
            <w:r>
              <w:rPr>
                <w:rFonts w:hint="eastAsia" w:ascii="宋体" w:hAnsi="宋体"/>
                <w:sz w:val="24"/>
              </w:rPr>
              <w:t>48</w:t>
            </w:r>
          </w:p>
        </w:tc>
        <w:tc>
          <w:tcPr>
            <w:tcW w:w="1097" w:type="dxa"/>
            <w:vAlign w:val="center"/>
          </w:tcPr>
          <w:p>
            <w:pPr>
              <w:autoSpaceDE w:val="0"/>
              <w:autoSpaceDN w:val="0"/>
              <w:spacing w:line="400" w:lineRule="exact"/>
              <w:jc w:val="center"/>
              <w:rPr>
                <w:rFonts w:hint="eastAsia" w:ascii="宋体" w:hAnsi="宋体"/>
                <w:sz w:val="24"/>
              </w:rPr>
            </w:pPr>
            <w:r>
              <w:rPr>
                <w:rFonts w:hint="eastAsia" w:ascii="宋体" w:hAnsi="宋体"/>
                <w:sz w:val="24"/>
              </w:rPr>
              <w:t>3</w:t>
            </w:r>
          </w:p>
        </w:tc>
        <w:tc>
          <w:tcPr>
            <w:tcW w:w="2343" w:type="dxa"/>
            <w:vAlign w:val="center"/>
          </w:tcPr>
          <w:p>
            <w:pPr>
              <w:autoSpaceDE w:val="0"/>
              <w:autoSpaceDN w:val="0"/>
              <w:spacing w:line="400" w:lineRule="exact"/>
              <w:jc w:val="center"/>
              <w:rPr>
                <w:rFonts w:hint="eastAsia" w:ascii="宋体" w:hAnsi="宋体"/>
                <w:sz w:val="24"/>
              </w:rPr>
            </w:pPr>
            <w:r>
              <w:rPr>
                <w:rFonts w:hint="eastAsia" w:ascii="宋体" w:hAnsi="宋体"/>
                <w:sz w:val="24"/>
              </w:rPr>
              <w:t>张海丰</w:t>
            </w:r>
          </w:p>
        </w:tc>
        <w:tc>
          <w:tcPr>
            <w:tcW w:w="1299" w:type="dxa"/>
            <w:vAlign w:val="center"/>
          </w:tcPr>
          <w:p>
            <w:pPr>
              <w:autoSpaceDE w:val="0"/>
              <w:autoSpaceDN w:val="0"/>
              <w:spacing w:line="400" w:lineRule="exact"/>
              <w:jc w:val="center"/>
              <w:rPr>
                <w:rFonts w:hint="eastAsia" w:ascii="宋体" w:hAnsi="宋体"/>
                <w:sz w:val="24"/>
              </w:rPr>
            </w:pPr>
            <w:r>
              <w:rPr>
                <w:rFonts w:hint="eastAsia" w:ascii="宋体" w:hAnsi="宋体"/>
                <w:sz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1" w:hRule="atLeast"/>
          <w:jc w:val="center"/>
        </w:trPr>
        <w:tc>
          <w:tcPr>
            <w:tcW w:w="3548" w:type="dxa"/>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财政学</w:t>
            </w:r>
          </w:p>
        </w:tc>
        <w:tc>
          <w:tcPr>
            <w:tcW w:w="1287" w:type="dxa"/>
            <w:vAlign w:val="center"/>
          </w:tcPr>
          <w:p>
            <w:pPr>
              <w:autoSpaceDE w:val="0"/>
              <w:autoSpaceDN w:val="0"/>
              <w:spacing w:line="400" w:lineRule="exact"/>
              <w:jc w:val="center"/>
              <w:rPr>
                <w:rFonts w:hint="eastAsia" w:ascii="宋体" w:hAnsi="宋体"/>
                <w:sz w:val="24"/>
              </w:rPr>
            </w:pPr>
            <w:r>
              <w:rPr>
                <w:rFonts w:hint="eastAsia" w:ascii="宋体" w:hAnsi="宋体"/>
                <w:sz w:val="24"/>
              </w:rPr>
              <w:t>48</w:t>
            </w:r>
          </w:p>
        </w:tc>
        <w:tc>
          <w:tcPr>
            <w:tcW w:w="1097" w:type="dxa"/>
            <w:vAlign w:val="center"/>
          </w:tcPr>
          <w:p>
            <w:pPr>
              <w:autoSpaceDE w:val="0"/>
              <w:autoSpaceDN w:val="0"/>
              <w:spacing w:line="400" w:lineRule="exact"/>
              <w:jc w:val="center"/>
              <w:rPr>
                <w:rFonts w:hint="eastAsia" w:ascii="宋体" w:hAnsi="宋体"/>
                <w:sz w:val="24"/>
              </w:rPr>
            </w:pPr>
            <w:r>
              <w:rPr>
                <w:rFonts w:hint="eastAsia" w:ascii="宋体" w:hAnsi="宋体"/>
                <w:sz w:val="24"/>
              </w:rPr>
              <w:t>3</w:t>
            </w:r>
          </w:p>
        </w:tc>
        <w:tc>
          <w:tcPr>
            <w:tcW w:w="2343" w:type="dxa"/>
            <w:vAlign w:val="center"/>
          </w:tcPr>
          <w:p>
            <w:pPr>
              <w:autoSpaceDE w:val="0"/>
              <w:autoSpaceDN w:val="0"/>
              <w:spacing w:line="400" w:lineRule="exact"/>
              <w:jc w:val="center"/>
              <w:rPr>
                <w:rFonts w:hint="eastAsia" w:ascii="宋体" w:hAnsi="宋体"/>
                <w:sz w:val="24"/>
              </w:rPr>
            </w:pPr>
            <w:r>
              <w:rPr>
                <w:rFonts w:hint="eastAsia" w:ascii="宋体" w:hAnsi="宋体"/>
                <w:sz w:val="24"/>
              </w:rPr>
              <w:t>罗艳</w:t>
            </w:r>
          </w:p>
        </w:tc>
        <w:tc>
          <w:tcPr>
            <w:tcW w:w="1299" w:type="dxa"/>
            <w:vAlign w:val="center"/>
          </w:tcPr>
          <w:p>
            <w:pPr>
              <w:autoSpaceDE w:val="0"/>
              <w:autoSpaceDN w:val="0"/>
              <w:spacing w:line="400" w:lineRule="exact"/>
              <w:jc w:val="center"/>
              <w:rPr>
                <w:rFonts w:hint="eastAsia" w:ascii="宋体" w:hAnsi="宋体"/>
                <w:sz w:val="24"/>
              </w:rPr>
            </w:pPr>
            <w:r>
              <w:rPr>
                <w:rFonts w:hint="eastAsia" w:ascii="宋体" w:hAnsi="宋体"/>
                <w:sz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3548" w:type="dxa"/>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金融学</w:t>
            </w:r>
          </w:p>
        </w:tc>
        <w:tc>
          <w:tcPr>
            <w:tcW w:w="1287" w:type="dxa"/>
            <w:vAlign w:val="center"/>
          </w:tcPr>
          <w:p>
            <w:pPr>
              <w:autoSpaceDE w:val="0"/>
              <w:autoSpaceDN w:val="0"/>
              <w:spacing w:line="400" w:lineRule="exact"/>
              <w:jc w:val="center"/>
              <w:rPr>
                <w:rFonts w:hint="eastAsia" w:ascii="宋体" w:hAnsi="宋体"/>
                <w:sz w:val="24"/>
              </w:rPr>
            </w:pPr>
            <w:r>
              <w:rPr>
                <w:rFonts w:hint="eastAsia" w:ascii="宋体" w:hAnsi="宋体"/>
                <w:sz w:val="24"/>
              </w:rPr>
              <w:t>48</w:t>
            </w:r>
          </w:p>
        </w:tc>
        <w:tc>
          <w:tcPr>
            <w:tcW w:w="1097" w:type="dxa"/>
            <w:vAlign w:val="center"/>
          </w:tcPr>
          <w:p>
            <w:pPr>
              <w:autoSpaceDE w:val="0"/>
              <w:autoSpaceDN w:val="0"/>
              <w:spacing w:line="400" w:lineRule="exact"/>
              <w:jc w:val="center"/>
              <w:rPr>
                <w:rFonts w:hint="eastAsia" w:ascii="宋体" w:hAnsi="宋体"/>
                <w:sz w:val="24"/>
              </w:rPr>
            </w:pPr>
            <w:r>
              <w:rPr>
                <w:rFonts w:hint="eastAsia" w:ascii="宋体" w:hAnsi="宋体"/>
                <w:sz w:val="24"/>
              </w:rPr>
              <w:t>3</w:t>
            </w:r>
          </w:p>
        </w:tc>
        <w:tc>
          <w:tcPr>
            <w:tcW w:w="2343" w:type="dxa"/>
            <w:vAlign w:val="center"/>
          </w:tcPr>
          <w:p>
            <w:pPr>
              <w:autoSpaceDE w:val="0"/>
              <w:autoSpaceDN w:val="0"/>
              <w:spacing w:line="400" w:lineRule="exact"/>
              <w:jc w:val="center"/>
              <w:rPr>
                <w:rFonts w:hint="eastAsia" w:ascii="宋体" w:hAnsi="宋体"/>
                <w:sz w:val="24"/>
              </w:rPr>
            </w:pPr>
            <w:r>
              <w:rPr>
                <w:rFonts w:hint="eastAsia" w:ascii="宋体" w:hAnsi="宋体"/>
                <w:sz w:val="24"/>
              </w:rPr>
              <w:t>单俊辉</w:t>
            </w:r>
          </w:p>
        </w:tc>
        <w:tc>
          <w:tcPr>
            <w:tcW w:w="1299" w:type="dxa"/>
            <w:vAlign w:val="center"/>
          </w:tcPr>
          <w:p>
            <w:pPr>
              <w:autoSpaceDE w:val="0"/>
              <w:autoSpaceDN w:val="0"/>
              <w:spacing w:line="400" w:lineRule="exact"/>
              <w:jc w:val="center"/>
              <w:rPr>
                <w:rFonts w:hint="eastAsia" w:ascii="宋体" w:hAnsi="宋体"/>
                <w:sz w:val="24"/>
              </w:rPr>
            </w:pPr>
            <w:r>
              <w:rPr>
                <w:rFonts w:hint="eastAsia" w:ascii="宋体" w:hAnsi="宋体"/>
                <w:sz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3548" w:type="dxa"/>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数字贸易</w:t>
            </w:r>
          </w:p>
        </w:tc>
        <w:tc>
          <w:tcPr>
            <w:tcW w:w="1287" w:type="dxa"/>
            <w:vAlign w:val="center"/>
          </w:tcPr>
          <w:p>
            <w:pPr>
              <w:autoSpaceDE w:val="0"/>
              <w:autoSpaceDN w:val="0"/>
              <w:spacing w:line="400" w:lineRule="exact"/>
              <w:jc w:val="center"/>
              <w:rPr>
                <w:rFonts w:hint="eastAsia" w:ascii="宋体" w:hAnsi="宋体"/>
                <w:sz w:val="24"/>
              </w:rPr>
            </w:pPr>
            <w:r>
              <w:rPr>
                <w:rFonts w:hint="eastAsia" w:ascii="宋体" w:hAnsi="宋体"/>
                <w:sz w:val="24"/>
              </w:rPr>
              <w:t>32</w:t>
            </w:r>
          </w:p>
        </w:tc>
        <w:tc>
          <w:tcPr>
            <w:tcW w:w="1097" w:type="dxa"/>
            <w:vAlign w:val="center"/>
          </w:tcPr>
          <w:p>
            <w:pPr>
              <w:autoSpaceDE w:val="0"/>
              <w:autoSpaceDN w:val="0"/>
              <w:spacing w:line="400" w:lineRule="exact"/>
              <w:jc w:val="center"/>
              <w:rPr>
                <w:rFonts w:hint="eastAsia" w:ascii="宋体" w:hAnsi="宋体"/>
                <w:sz w:val="24"/>
              </w:rPr>
            </w:pPr>
            <w:r>
              <w:rPr>
                <w:rFonts w:hint="eastAsia" w:ascii="宋体" w:hAnsi="宋体"/>
                <w:sz w:val="24"/>
              </w:rPr>
              <w:t>2</w:t>
            </w:r>
          </w:p>
        </w:tc>
        <w:tc>
          <w:tcPr>
            <w:tcW w:w="2343" w:type="dxa"/>
            <w:vAlign w:val="center"/>
          </w:tcPr>
          <w:p>
            <w:pPr>
              <w:autoSpaceDE w:val="0"/>
              <w:autoSpaceDN w:val="0"/>
              <w:spacing w:line="400" w:lineRule="exact"/>
              <w:jc w:val="center"/>
              <w:rPr>
                <w:rFonts w:hint="eastAsia" w:ascii="宋体" w:hAnsi="宋体"/>
                <w:sz w:val="24"/>
              </w:rPr>
            </w:pPr>
            <w:r>
              <w:rPr>
                <w:rFonts w:hint="eastAsia" w:ascii="宋体" w:hAnsi="宋体"/>
                <w:sz w:val="24"/>
              </w:rPr>
              <w:t>李建生</w:t>
            </w:r>
          </w:p>
        </w:tc>
        <w:tc>
          <w:tcPr>
            <w:tcW w:w="1299" w:type="dxa"/>
            <w:vAlign w:val="center"/>
          </w:tcPr>
          <w:p>
            <w:pPr>
              <w:autoSpaceDE w:val="0"/>
              <w:autoSpaceDN w:val="0"/>
              <w:spacing w:line="400" w:lineRule="exact"/>
              <w:jc w:val="center"/>
              <w:rPr>
                <w:rFonts w:hint="eastAsia" w:ascii="宋体" w:hAnsi="宋体"/>
                <w:sz w:val="24"/>
              </w:rPr>
            </w:pPr>
            <w:r>
              <w:rPr>
                <w:rFonts w:hint="eastAsia" w:ascii="宋体" w:hAnsi="宋体"/>
                <w:sz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3548" w:type="dxa"/>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数字金融与金融科技</w:t>
            </w:r>
          </w:p>
        </w:tc>
        <w:tc>
          <w:tcPr>
            <w:tcW w:w="1287" w:type="dxa"/>
            <w:vAlign w:val="center"/>
          </w:tcPr>
          <w:p>
            <w:pPr>
              <w:autoSpaceDE w:val="0"/>
              <w:autoSpaceDN w:val="0"/>
              <w:spacing w:line="400" w:lineRule="exact"/>
              <w:jc w:val="center"/>
              <w:rPr>
                <w:rFonts w:hint="eastAsia" w:ascii="宋体" w:hAnsi="宋体"/>
                <w:sz w:val="24"/>
              </w:rPr>
            </w:pPr>
            <w:r>
              <w:rPr>
                <w:rFonts w:hint="eastAsia" w:ascii="宋体" w:hAnsi="宋体"/>
                <w:sz w:val="24"/>
              </w:rPr>
              <w:t>32</w:t>
            </w:r>
          </w:p>
        </w:tc>
        <w:tc>
          <w:tcPr>
            <w:tcW w:w="1097" w:type="dxa"/>
            <w:vAlign w:val="center"/>
          </w:tcPr>
          <w:p>
            <w:pPr>
              <w:autoSpaceDE w:val="0"/>
              <w:autoSpaceDN w:val="0"/>
              <w:spacing w:line="400" w:lineRule="exact"/>
              <w:jc w:val="center"/>
              <w:rPr>
                <w:rFonts w:hint="eastAsia" w:ascii="宋体" w:hAnsi="宋体"/>
                <w:sz w:val="24"/>
              </w:rPr>
            </w:pPr>
            <w:r>
              <w:rPr>
                <w:rFonts w:hint="eastAsia" w:ascii="宋体" w:hAnsi="宋体"/>
                <w:sz w:val="24"/>
              </w:rPr>
              <w:t>2</w:t>
            </w:r>
          </w:p>
        </w:tc>
        <w:tc>
          <w:tcPr>
            <w:tcW w:w="2343" w:type="dxa"/>
            <w:vAlign w:val="center"/>
          </w:tcPr>
          <w:p>
            <w:pPr>
              <w:autoSpaceDE w:val="0"/>
              <w:autoSpaceDN w:val="0"/>
              <w:spacing w:line="400" w:lineRule="exact"/>
              <w:jc w:val="center"/>
              <w:rPr>
                <w:rFonts w:hint="eastAsia" w:ascii="宋体" w:hAnsi="宋体"/>
                <w:sz w:val="24"/>
              </w:rPr>
            </w:pPr>
            <w:r>
              <w:rPr>
                <w:rFonts w:hint="eastAsia" w:ascii="宋体" w:hAnsi="宋体"/>
                <w:sz w:val="24"/>
              </w:rPr>
              <w:t>丁俊峰</w:t>
            </w:r>
          </w:p>
        </w:tc>
        <w:tc>
          <w:tcPr>
            <w:tcW w:w="1299" w:type="dxa"/>
            <w:vAlign w:val="center"/>
          </w:tcPr>
          <w:p>
            <w:pPr>
              <w:autoSpaceDE w:val="0"/>
              <w:autoSpaceDN w:val="0"/>
              <w:spacing w:line="400" w:lineRule="exact"/>
              <w:jc w:val="center"/>
              <w:rPr>
                <w:rFonts w:hint="eastAsia" w:ascii="宋体" w:hAnsi="宋体"/>
                <w:sz w:val="24"/>
              </w:rPr>
            </w:pPr>
            <w:r>
              <w:rPr>
                <w:rFonts w:hint="eastAsia" w:ascii="宋体" w:hAnsi="宋体"/>
                <w:sz w:val="24"/>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jc w:val="center"/>
        </w:trPr>
        <w:tc>
          <w:tcPr>
            <w:tcW w:w="3548" w:type="dxa"/>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计量经济学</w:t>
            </w:r>
          </w:p>
        </w:tc>
        <w:tc>
          <w:tcPr>
            <w:tcW w:w="1287" w:type="dxa"/>
            <w:vAlign w:val="center"/>
          </w:tcPr>
          <w:p>
            <w:pPr>
              <w:autoSpaceDE w:val="0"/>
              <w:autoSpaceDN w:val="0"/>
              <w:spacing w:line="400" w:lineRule="exact"/>
              <w:jc w:val="center"/>
              <w:rPr>
                <w:rFonts w:hint="eastAsia" w:ascii="宋体" w:hAnsi="宋体"/>
                <w:sz w:val="24"/>
              </w:rPr>
            </w:pPr>
            <w:r>
              <w:rPr>
                <w:rFonts w:hint="eastAsia" w:ascii="宋体" w:hAnsi="宋体"/>
                <w:sz w:val="24"/>
              </w:rPr>
              <w:t>48</w:t>
            </w:r>
          </w:p>
        </w:tc>
        <w:tc>
          <w:tcPr>
            <w:tcW w:w="1097" w:type="dxa"/>
            <w:vAlign w:val="center"/>
          </w:tcPr>
          <w:p>
            <w:pPr>
              <w:autoSpaceDE w:val="0"/>
              <w:autoSpaceDN w:val="0"/>
              <w:spacing w:line="400" w:lineRule="exact"/>
              <w:jc w:val="center"/>
              <w:rPr>
                <w:rFonts w:hint="eastAsia" w:ascii="宋体" w:hAnsi="宋体"/>
                <w:sz w:val="24"/>
              </w:rPr>
            </w:pPr>
            <w:r>
              <w:rPr>
                <w:rFonts w:hint="eastAsia" w:ascii="宋体" w:hAnsi="宋体"/>
                <w:sz w:val="24"/>
              </w:rPr>
              <w:t>3</w:t>
            </w:r>
          </w:p>
        </w:tc>
        <w:tc>
          <w:tcPr>
            <w:tcW w:w="2343" w:type="dxa"/>
            <w:vAlign w:val="center"/>
          </w:tcPr>
          <w:p>
            <w:pPr>
              <w:autoSpaceDE w:val="0"/>
              <w:autoSpaceDN w:val="0"/>
              <w:spacing w:line="400" w:lineRule="exact"/>
              <w:jc w:val="center"/>
              <w:rPr>
                <w:rFonts w:hint="eastAsia" w:ascii="宋体" w:hAnsi="宋体"/>
                <w:sz w:val="24"/>
              </w:rPr>
            </w:pPr>
            <w:r>
              <w:rPr>
                <w:rFonts w:hint="eastAsia" w:ascii="宋体" w:hAnsi="宋体"/>
                <w:sz w:val="24"/>
              </w:rPr>
              <w:t>苏方林</w:t>
            </w:r>
          </w:p>
        </w:tc>
        <w:tc>
          <w:tcPr>
            <w:tcW w:w="1299" w:type="dxa"/>
            <w:vAlign w:val="center"/>
          </w:tcPr>
          <w:p>
            <w:pPr>
              <w:autoSpaceDE w:val="0"/>
              <w:autoSpaceDN w:val="0"/>
              <w:spacing w:line="400" w:lineRule="exact"/>
              <w:jc w:val="center"/>
              <w:rPr>
                <w:rFonts w:hint="eastAsia" w:ascii="宋体" w:hAnsi="宋体"/>
                <w:sz w:val="24"/>
              </w:rPr>
            </w:pPr>
            <w:r>
              <w:rPr>
                <w:rFonts w:hint="eastAsia" w:ascii="宋体" w:hAnsi="宋体"/>
                <w:sz w:val="24"/>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1" w:hRule="atLeast"/>
          <w:jc w:val="center"/>
        </w:trPr>
        <w:tc>
          <w:tcPr>
            <w:tcW w:w="3548" w:type="dxa"/>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信息经济学</w:t>
            </w:r>
          </w:p>
        </w:tc>
        <w:tc>
          <w:tcPr>
            <w:tcW w:w="1287" w:type="dxa"/>
            <w:vAlign w:val="center"/>
          </w:tcPr>
          <w:p>
            <w:pPr>
              <w:autoSpaceDE w:val="0"/>
              <w:autoSpaceDN w:val="0"/>
              <w:spacing w:line="400" w:lineRule="exact"/>
              <w:jc w:val="center"/>
              <w:rPr>
                <w:rFonts w:hint="eastAsia" w:ascii="宋体" w:hAnsi="宋体"/>
                <w:sz w:val="24"/>
              </w:rPr>
            </w:pPr>
            <w:r>
              <w:rPr>
                <w:rFonts w:hint="eastAsia" w:ascii="宋体" w:hAnsi="宋体"/>
                <w:sz w:val="24"/>
              </w:rPr>
              <w:t>32</w:t>
            </w:r>
          </w:p>
        </w:tc>
        <w:tc>
          <w:tcPr>
            <w:tcW w:w="1097" w:type="dxa"/>
            <w:vAlign w:val="center"/>
          </w:tcPr>
          <w:p>
            <w:pPr>
              <w:autoSpaceDE w:val="0"/>
              <w:autoSpaceDN w:val="0"/>
              <w:spacing w:line="400" w:lineRule="exact"/>
              <w:jc w:val="center"/>
              <w:rPr>
                <w:rFonts w:hint="eastAsia" w:ascii="宋体" w:hAnsi="宋体"/>
                <w:sz w:val="24"/>
              </w:rPr>
            </w:pPr>
            <w:r>
              <w:rPr>
                <w:rFonts w:hint="eastAsia" w:ascii="宋体" w:hAnsi="宋体"/>
                <w:sz w:val="24"/>
              </w:rPr>
              <w:t>2</w:t>
            </w:r>
          </w:p>
        </w:tc>
        <w:tc>
          <w:tcPr>
            <w:tcW w:w="2343" w:type="dxa"/>
            <w:vAlign w:val="center"/>
          </w:tcPr>
          <w:p>
            <w:pPr>
              <w:autoSpaceDE w:val="0"/>
              <w:autoSpaceDN w:val="0"/>
              <w:spacing w:line="400" w:lineRule="exact"/>
              <w:jc w:val="center"/>
              <w:rPr>
                <w:rFonts w:hint="eastAsia" w:ascii="宋体" w:hAnsi="宋体"/>
                <w:sz w:val="24"/>
              </w:rPr>
            </w:pPr>
            <w:r>
              <w:rPr>
                <w:rFonts w:hint="eastAsia" w:ascii="宋体" w:hAnsi="宋体"/>
                <w:sz w:val="24"/>
              </w:rPr>
              <w:t>张柳钦</w:t>
            </w:r>
          </w:p>
        </w:tc>
        <w:tc>
          <w:tcPr>
            <w:tcW w:w="1299" w:type="dxa"/>
            <w:vAlign w:val="center"/>
          </w:tcPr>
          <w:p>
            <w:pPr>
              <w:autoSpaceDE w:val="0"/>
              <w:autoSpaceDN w:val="0"/>
              <w:spacing w:line="400" w:lineRule="exact"/>
              <w:jc w:val="center"/>
              <w:rPr>
                <w:rFonts w:hint="eastAsia" w:ascii="宋体" w:hAnsi="宋体"/>
                <w:sz w:val="24"/>
              </w:rPr>
            </w:pPr>
            <w:r>
              <w:rPr>
                <w:rFonts w:hint="eastAsia" w:ascii="宋体" w:hAnsi="宋体"/>
                <w:sz w:val="24"/>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3548" w:type="dxa"/>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经济大数据</w:t>
            </w:r>
          </w:p>
        </w:tc>
        <w:tc>
          <w:tcPr>
            <w:tcW w:w="1287" w:type="dxa"/>
            <w:vAlign w:val="center"/>
          </w:tcPr>
          <w:p>
            <w:pPr>
              <w:autoSpaceDE w:val="0"/>
              <w:autoSpaceDN w:val="0"/>
              <w:spacing w:line="400" w:lineRule="exact"/>
              <w:jc w:val="center"/>
              <w:rPr>
                <w:rFonts w:hint="eastAsia" w:ascii="宋体" w:hAnsi="宋体"/>
                <w:sz w:val="24"/>
              </w:rPr>
            </w:pPr>
            <w:r>
              <w:rPr>
                <w:rFonts w:hint="eastAsia" w:ascii="宋体" w:hAnsi="宋体"/>
                <w:sz w:val="24"/>
              </w:rPr>
              <w:t>48</w:t>
            </w:r>
          </w:p>
        </w:tc>
        <w:tc>
          <w:tcPr>
            <w:tcW w:w="1097" w:type="dxa"/>
            <w:vAlign w:val="center"/>
          </w:tcPr>
          <w:p>
            <w:pPr>
              <w:autoSpaceDE w:val="0"/>
              <w:autoSpaceDN w:val="0"/>
              <w:spacing w:line="400" w:lineRule="exact"/>
              <w:jc w:val="center"/>
              <w:rPr>
                <w:rFonts w:hint="eastAsia" w:ascii="宋体" w:hAnsi="宋体"/>
                <w:sz w:val="24"/>
              </w:rPr>
            </w:pPr>
            <w:r>
              <w:rPr>
                <w:rFonts w:hint="eastAsia" w:ascii="宋体" w:hAnsi="宋体"/>
                <w:sz w:val="24"/>
              </w:rPr>
              <w:t>3</w:t>
            </w:r>
          </w:p>
        </w:tc>
        <w:tc>
          <w:tcPr>
            <w:tcW w:w="2343" w:type="dxa"/>
            <w:vAlign w:val="center"/>
          </w:tcPr>
          <w:p>
            <w:pPr>
              <w:autoSpaceDE w:val="0"/>
              <w:autoSpaceDN w:val="0"/>
              <w:spacing w:line="400" w:lineRule="exact"/>
              <w:jc w:val="center"/>
              <w:rPr>
                <w:rFonts w:hint="eastAsia" w:ascii="宋体" w:hAnsi="宋体"/>
                <w:sz w:val="24"/>
              </w:rPr>
            </w:pPr>
            <w:r>
              <w:rPr>
                <w:rFonts w:hint="eastAsia" w:ascii="宋体" w:hAnsi="宋体"/>
                <w:sz w:val="24"/>
              </w:rPr>
              <w:t>伍先福</w:t>
            </w:r>
          </w:p>
        </w:tc>
        <w:tc>
          <w:tcPr>
            <w:tcW w:w="1299" w:type="dxa"/>
            <w:vAlign w:val="center"/>
          </w:tcPr>
          <w:p>
            <w:pPr>
              <w:autoSpaceDE w:val="0"/>
              <w:autoSpaceDN w:val="0"/>
              <w:spacing w:line="400" w:lineRule="exact"/>
              <w:jc w:val="center"/>
              <w:rPr>
                <w:rFonts w:hint="eastAsia" w:ascii="宋体" w:hAnsi="宋体"/>
                <w:sz w:val="24"/>
              </w:rPr>
            </w:pPr>
            <w:r>
              <w:rPr>
                <w:rFonts w:hint="eastAsia" w:ascii="宋体" w:hAnsi="宋体"/>
                <w:sz w:val="24"/>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3548" w:type="dxa"/>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人工智能与产业发展</w:t>
            </w:r>
          </w:p>
        </w:tc>
        <w:tc>
          <w:tcPr>
            <w:tcW w:w="1287" w:type="dxa"/>
            <w:vAlign w:val="center"/>
          </w:tcPr>
          <w:p>
            <w:pPr>
              <w:autoSpaceDE w:val="0"/>
              <w:autoSpaceDN w:val="0"/>
              <w:spacing w:line="400" w:lineRule="exact"/>
              <w:jc w:val="center"/>
              <w:rPr>
                <w:rFonts w:hint="eastAsia" w:ascii="宋体" w:hAnsi="宋体"/>
                <w:sz w:val="24"/>
              </w:rPr>
            </w:pPr>
            <w:r>
              <w:rPr>
                <w:rFonts w:hint="eastAsia" w:ascii="宋体" w:hAnsi="宋体"/>
                <w:sz w:val="24"/>
              </w:rPr>
              <w:t>32</w:t>
            </w:r>
          </w:p>
        </w:tc>
        <w:tc>
          <w:tcPr>
            <w:tcW w:w="1097" w:type="dxa"/>
            <w:vAlign w:val="center"/>
          </w:tcPr>
          <w:p>
            <w:pPr>
              <w:autoSpaceDE w:val="0"/>
              <w:autoSpaceDN w:val="0"/>
              <w:spacing w:line="400" w:lineRule="exact"/>
              <w:jc w:val="center"/>
              <w:rPr>
                <w:rFonts w:hint="eastAsia" w:ascii="宋体" w:hAnsi="宋体"/>
                <w:sz w:val="24"/>
              </w:rPr>
            </w:pPr>
            <w:r>
              <w:rPr>
                <w:rFonts w:hint="eastAsia" w:ascii="宋体" w:hAnsi="宋体"/>
                <w:sz w:val="24"/>
              </w:rPr>
              <w:t>2</w:t>
            </w:r>
          </w:p>
        </w:tc>
        <w:tc>
          <w:tcPr>
            <w:tcW w:w="2343" w:type="dxa"/>
            <w:vAlign w:val="center"/>
          </w:tcPr>
          <w:p>
            <w:pPr>
              <w:autoSpaceDE w:val="0"/>
              <w:autoSpaceDN w:val="0"/>
              <w:spacing w:line="400" w:lineRule="exact"/>
              <w:jc w:val="center"/>
              <w:rPr>
                <w:rFonts w:hint="eastAsia" w:ascii="宋体" w:hAnsi="宋体"/>
                <w:sz w:val="24"/>
              </w:rPr>
            </w:pPr>
            <w:r>
              <w:rPr>
                <w:rFonts w:hint="eastAsia" w:ascii="宋体" w:hAnsi="宋体"/>
                <w:sz w:val="24"/>
              </w:rPr>
              <w:t>李强谊</w:t>
            </w:r>
          </w:p>
        </w:tc>
        <w:tc>
          <w:tcPr>
            <w:tcW w:w="1299" w:type="dxa"/>
            <w:vAlign w:val="center"/>
          </w:tcPr>
          <w:p>
            <w:pPr>
              <w:autoSpaceDE w:val="0"/>
              <w:autoSpaceDN w:val="0"/>
              <w:spacing w:line="400" w:lineRule="exact"/>
              <w:jc w:val="center"/>
              <w:rPr>
                <w:rFonts w:hint="eastAsia" w:ascii="宋体" w:hAnsi="宋体"/>
                <w:sz w:val="24"/>
              </w:rPr>
            </w:pPr>
            <w:r>
              <w:rPr>
                <w:rFonts w:hint="eastAsia" w:ascii="宋体" w:hAnsi="宋体"/>
                <w:sz w:val="24"/>
              </w:rPr>
              <w:t>6</w:t>
            </w:r>
          </w:p>
        </w:tc>
      </w:tr>
    </w:tbl>
    <w:p>
      <w:pPr>
        <w:autoSpaceDE w:val="0"/>
        <w:autoSpaceDN w:val="0"/>
        <w:spacing w:line="400" w:lineRule="exact"/>
        <w:jc w:val="left"/>
        <w:rPr>
          <w:rFonts w:hint="eastAsia" w:ascii="宋体" w:hAnsi="宋体"/>
          <w:kern w:val="0"/>
          <w:sz w:val="24"/>
          <w:lang w:val="zh-CN" w:bidi="zh-CN"/>
        </w:rPr>
      </w:pPr>
    </w:p>
    <w:p>
      <w:pPr>
        <w:autoSpaceDE w:val="0"/>
        <w:autoSpaceDN w:val="0"/>
        <w:spacing w:line="400" w:lineRule="exact"/>
        <w:jc w:val="left"/>
        <w:rPr>
          <w:rFonts w:hint="eastAsia" w:ascii="宋体" w:hAnsi="宋体"/>
          <w:kern w:val="0"/>
          <w:sz w:val="24"/>
          <w:lang w:val="zh-CN" w:bidi="zh-CN"/>
        </w:rPr>
        <w:sectPr>
          <w:headerReference r:id="rId10" w:type="default"/>
          <w:footnotePr>
            <w:numFmt w:val="decimalEnclosedCircleChinese"/>
            <w:numRestart w:val="eachPage"/>
          </w:footnotePr>
          <w:pgSz w:w="11906" w:h="16838"/>
          <w:pgMar w:top="2098" w:right="1474" w:bottom="1984" w:left="1588" w:header="851" w:footer="1559" w:gutter="0"/>
          <w:cols w:space="720" w:num="1"/>
          <w:docGrid w:linePitch="1" w:charSpace="0"/>
        </w:sectPr>
      </w:pPr>
    </w:p>
    <w:p>
      <w:pPr>
        <w:autoSpaceDE w:val="0"/>
        <w:autoSpaceDN w:val="0"/>
        <w:spacing w:line="400" w:lineRule="exact"/>
        <w:ind w:left="20"/>
        <w:jc w:val="center"/>
        <w:rPr>
          <w:rFonts w:hint="eastAsia" w:ascii="黑体" w:hAnsi="黑体" w:eastAsia="黑体" w:cs="黑体"/>
          <w:color w:val="00B0F0"/>
          <w:kern w:val="0"/>
          <w:sz w:val="32"/>
          <w:szCs w:val="32"/>
          <w:lang w:val="zh-CN" w:bidi="zh-CN"/>
        </w:rPr>
      </w:pPr>
      <w:r>
        <w:rPr>
          <w:rFonts w:hint="eastAsia" w:ascii="Times New Roman" w:hAnsi="Times New Roman" w:eastAsia="黑体" w:cs="黑体"/>
          <w:kern w:val="0"/>
          <w:sz w:val="32"/>
          <w:szCs w:val="32"/>
          <w:lang w:bidi="zh-CN"/>
        </w:rPr>
        <w:t>6</w:t>
      </w:r>
      <w:r>
        <w:rPr>
          <w:rFonts w:ascii="黑体" w:hAnsi="黑体" w:eastAsia="黑体" w:cs="黑体"/>
          <w:kern w:val="0"/>
          <w:sz w:val="32"/>
          <w:szCs w:val="32"/>
          <w:lang w:val="zh-CN" w:bidi="zh-CN"/>
        </w:rPr>
        <w:t>.专业主要带头人简介</w:t>
      </w:r>
      <w:r>
        <w:rPr>
          <w:rFonts w:hint="eastAsia" w:ascii="黑体" w:hAnsi="黑体" w:eastAsia="黑体" w:cs="黑体"/>
          <w:kern w:val="0"/>
          <w:sz w:val="32"/>
          <w:szCs w:val="32"/>
          <w:lang w:val="zh-CN" w:bidi="zh-CN"/>
        </w:rPr>
        <w:t>（</w:t>
      </w:r>
      <w:r>
        <w:rPr>
          <w:rFonts w:hint="eastAsia" w:ascii="黑体" w:hAnsi="黑体" w:eastAsia="黑体" w:cs="黑体"/>
          <w:kern w:val="0"/>
          <w:sz w:val="32"/>
          <w:szCs w:val="32"/>
          <w:lang w:bidi="zh-CN"/>
        </w:rPr>
        <w:t>1</w:t>
      </w:r>
      <w:r>
        <w:rPr>
          <w:rFonts w:hint="eastAsia" w:ascii="黑体" w:hAnsi="黑体" w:eastAsia="黑体" w:cs="黑体"/>
          <w:kern w:val="0"/>
          <w:sz w:val="32"/>
          <w:szCs w:val="32"/>
          <w:lang w:val="zh-CN" w:bidi="zh-CN"/>
        </w:rPr>
        <w:t>）</w:t>
      </w:r>
    </w:p>
    <w:tbl>
      <w:tblPr>
        <w:tblStyle w:val="40"/>
        <w:tblW w:w="957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0"/>
        <w:gridCol w:w="1438"/>
        <w:gridCol w:w="257"/>
        <w:gridCol w:w="989"/>
        <w:gridCol w:w="879"/>
        <w:gridCol w:w="867"/>
        <w:gridCol w:w="853"/>
        <w:gridCol w:w="1023"/>
        <w:gridCol w:w="89"/>
        <w:gridCol w:w="1229"/>
        <w:gridCol w:w="9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jc w:val="center"/>
        </w:trPr>
        <w:tc>
          <w:tcPr>
            <w:tcW w:w="960" w:type="dxa"/>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姓名</w:t>
            </w:r>
          </w:p>
        </w:tc>
        <w:tc>
          <w:tcPr>
            <w:tcW w:w="1438" w:type="dxa"/>
            <w:vAlign w:val="center"/>
          </w:tcPr>
          <w:p>
            <w:pPr>
              <w:autoSpaceDE w:val="0"/>
              <w:autoSpaceDN w:val="0"/>
              <w:spacing w:line="400" w:lineRule="exact"/>
              <w:jc w:val="center"/>
              <w:rPr>
                <w:rFonts w:hint="eastAsia" w:ascii="宋体" w:hAnsi="宋体"/>
                <w:sz w:val="24"/>
              </w:rPr>
            </w:pPr>
            <w:r>
              <w:rPr>
                <w:rFonts w:hint="eastAsia" w:ascii="宋体" w:hAnsi="宋体"/>
                <w:sz w:val="24"/>
              </w:rPr>
              <w:t>张海丰</w:t>
            </w:r>
          </w:p>
        </w:tc>
        <w:tc>
          <w:tcPr>
            <w:tcW w:w="1246" w:type="dxa"/>
            <w:gridSpan w:val="2"/>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性别</w:t>
            </w:r>
          </w:p>
        </w:tc>
        <w:tc>
          <w:tcPr>
            <w:tcW w:w="879" w:type="dxa"/>
            <w:vAlign w:val="center"/>
          </w:tcPr>
          <w:p>
            <w:pPr>
              <w:autoSpaceDE w:val="0"/>
              <w:autoSpaceDN w:val="0"/>
              <w:spacing w:line="400" w:lineRule="exact"/>
              <w:jc w:val="center"/>
              <w:rPr>
                <w:rFonts w:hint="eastAsia" w:ascii="宋体" w:hAnsi="宋体"/>
                <w:sz w:val="24"/>
              </w:rPr>
            </w:pPr>
            <w:r>
              <w:rPr>
                <w:rFonts w:hint="eastAsia" w:ascii="宋体" w:hAnsi="宋体"/>
                <w:sz w:val="24"/>
              </w:rPr>
              <w:t>男</w:t>
            </w:r>
          </w:p>
        </w:tc>
        <w:tc>
          <w:tcPr>
            <w:tcW w:w="1720" w:type="dxa"/>
            <w:gridSpan w:val="2"/>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专业技术职务</w:t>
            </w:r>
          </w:p>
        </w:tc>
        <w:tc>
          <w:tcPr>
            <w:tcW w:w="1112" w:type="dxa"/>
            <w:gridSpan w:val="2"/>
            <w:vAlign w:val="center"/>
          </w:tcPr>
          <w:p>
            <w:pPr>
              <w:autoSpaceDE w:val="0"/>
              <w:autoSpaceDN w:val="0"/>
              <w:spacing w:line="400" w:lineRule="exact"/>
              <w:jc w:val="center"/>
              <w:rPr>
                <w:rFonts w:hint="eastAsia" w:ascii="宋体" w:hAnsi="宋体"/>
                <w:sz w:val="24"/>
              </w:rPr>
            </w:pPr>
            <w:r>
              <w:rPr>
                <w:rFonts w:hint="eastAsia" w:ascii="宋体" w:hAnsi="宋体"/>
                <w:sz w:val="24"/>
              </w:rPr>
              <w:t>教授</w:t>
            </w:r>
          </w:p>
        </w:tc>
        <w:tc>
          <w:tcPr>
            <w:tcW w:w="1229" w:type="dxa"/>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行政职务</w:t>
            </w:r>
          </w:p>
        </w:tc>
        <w:tc>
          <w:tcPr>
            <w:tcW w:w="992" w:type="dxa"/>
            <w:vAlign w:val="center"/>
          </w:tcPr>
          <w:p>
            <w:pPr>
              <w:autoSpaceDE w:val="0"/>
              <w:autoSpaceDN w:val="0"/>
              <w:spacing w:line="400" w:lineRule="exact"/>
              <w:jc w:val="center"/>
              <w:rPr>
                <w:rFonts w:hint="eastAsia" w:ascii="宋体" w:hAnsi="宋体"/>
                <w:sz w:val="24"/>
              </w:rPr>
            </w:pPr>
            <w:r>
              <w:rPr>
                <w:rFonts w:hint="eastAsia" w:ascii="宋体" w:hAnsi="宋体"/>
                <w:sz w:val="24"/>
              </w:rPr>
              <w:t>院长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 w:hRule="atLeast"/>
          <w:jc w:val="center"/>
        </w:trPr>
        <w:tc>
          <w:tcPr>
            <w:tcW w:w="960" w:type="dxa"/>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拟承担</w:t>
            </w:r>
          </w:p>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课程</w:t>
            </w:r>
          </w:p>
        </w:tc>
        <w:tc>
          <w:tcPr>
            <w:tcW w:w="3563" w:type="dxa"/>
            <w:gridSpan w:val="4"/>
            <w:vAlign w:val="center"/>
          </w:tcPr>
          <w:p>
            <w:pPr>
              <w:autoSpaceDE w:val="0"/>
              <w:autoSpaceDN w:val="0"/>
              <w:spacing w:line="400" w:lineRule="exact"/>
              <w:jc w:val="center"/>
              <w:rPr>
                <w:rFonts w:hint="eastAsia" w:ascii="宋体" w:hAnsi="宋体"/>
                <w:kern w:val="0"/>
                <w:sz w:val="24"/>
                <w:lang w:val="zh-CN" w:bidi="zh-CN"/>
              </w:rPr>
            </w:pPr>
            <w:r>
              <w:rPr>
                <w:rFonts w:hint="eastAsia" w:ascii="宋体" w:hAnsi="宋体"/>
                <w:kern w:val="0"/>
                <w:sz w:val="24"/>
                <w:lang w:val="zh-CN" w:bidi="zh-CN"/>
              </w:rPr>
              <w:t>数字经济</w:t>
            </w:r>
            <w:r>
              <w:rPr>
                <w:rFonts w:hint="eastAsia" w:ascii="宋体" w:hAnsi="宋体"/>
                <w:kern w:val="0"/>
                <w:sz w:val="24"/>
                <w:lang w:bidi="zh-CN"/>
              </w:rPr>
              <w:t>学</w:t>
            </w:r>
          </w:p>
        </w:tc>
        <w:tc>
          <w:tcPr>
            <w:tcW w:w="1720" w:type="dxa"/>
            <w:gridSpan w:val="2"/>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现在所在单位</w:t>
            </w:r>
          </w:p>
        </w:tc>
        <w:tc>
          <w:tcPr>
            <w:tcW w:w="3333" w:type="dxa"/>
            <w:gridSpan w:val="4"/>
            <w:vAlign w:val="center"/>
          </w:tcPr>
          <w:p>
            <w:pPr>
              <w:autoSpaceDE w:val="0"/>
              <w:autoSpaceDN w:val="0"/>
              <w:spacing w:line="400" w:lineRule="exact"/>
              <w:jc w:val="center"/>
              <w:rPr>
                <w:rFonts w:hint="eastAsia" w:ascii="宋体" w:hAnsi="宋体"/>
                <w:kern w:val="0"/>
                <w:sz w:val="24"/>
                <w:lang w:bidi="zh-CN"/>
              </w:rPr>
            </w:pPr>
            <w:r>
              <w:rPr>
                <w:rFonts w:hint="eastAsia" w:ascii="宋体" w:hAnsi="宋体"/>
                <w:kern w:val="0"/>
                <w:sz w:val="24"/>
                <w:lang w:bidi="zh-CN"/>
              </w:rPr>
              <w:t>广西师范大学经济管理学院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2655" w:type="dxa"/>
            <w:gridSpan w:val="3"/>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最后学历毕业时间、</w:t>
            </w:r>
          </w:p>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学校、专业</w:t>
            </w:r>
          </w:p>
        </w:tc>
        <w:tc>
          <w:tcPr>
            <w:tcW w:w="6921" w:type="dxa"/>
            <w:gridSpan w:val="8"/>
          </w:tcPr>
          <w:p>
            <w:pPr>
              <w:autoSpaceDE w:val="0"/>
              <w:autoSpaceDN w:val="0"/>
              <w:spacing w:line="400" w:lineRule="exact"/>
              <w:rPr>
                <w:rFonts w:hint="eastAsia" w:ascii="宋体" w:hAnsi="宋体"/>
                <w:kern w:val="0"/>
                <w:sz w:val="24"/>
                <w:lang w:val="zh-CN" w:bidi="zh-CN"/>
              </w:rPr>
            </w:pPr>
            <w:r>
              <w:rPr>
                <w:rFonts w:hint="eastAsia" w:ascii="宋体" w:hAnsi="宋体"/>
                <w:kern w:val="0"/>
                <w:sz w:val="24"/>
                <w:lang w:val="zh-CN" w:bidi="zh-CN"/>
              </w:rPr>
              <w:t>2016年12月毕业于中南财经政法大学经济学院，政治经济学专业，经济学博士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 w:hRule="atLeast"/>
          <w:jc w:val="center"/>
        </w:trPr>
        <w:tc>
          <w:tcPr>
            <w:tcW w:w="2655" w:type="dxa"/>
            <w:gridSpan w:val="3"/>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主要研究方向</w:t>
            </w:r>
          </w:p>
        </w:tc>
        <w:tc>
          <w:tcPr>
            <w:tcW w:w="6921" w:type="dxa"/>
            <w:gridSpan w:val="8"/>
          </w:tcPr>
          <w:p>
            <w:pPr>
              <w:autoSpaceDE w:val="0"/>
              <w:autoSpaceDN w:val="0"/>
              <w:spacing w:line="400" w:lineRule="exact"/>
              <w:rPr>
                <w:rFonts w:hint="eastAsia" w:ascii="宋体" w:hAnsi="宋体"/>
                <w:kern w:val="0"/>
                <w:sz w:val="24"/>
                <w:lang w:bidi="zh-CN"/>
              </w:rPr>
            </w:pPr>
            <w:r>
              <w:rPr>
                <w:rFonts w:hint="eastAsia" w:ascii="宋体" w:hAnsi="宋体"/>
                <w:kern w:val="0"/>
                <w:sz w:val="24"/>
                <w:lang w:val="zh-CN" w:bidi="zh-CN"/>
              </w:rPr>
              <w:t>演化与创新经济学、制度经济学、区域国别学、</w:t>
            </w:r>
            <w:r>
              <w:rPr>
                <w:rFonts w:hint="eastAsia" w:ascii="宋体" w:hAnsi="宋体"/>
                <w:kern w:val="0"/>
                <w:sz w:val="24"/>
                <w:lang w:bidi="zh-CN"/>
              </w:rPr>
              <w:t>数字经济学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8" w:hRule="atLeast"/>
          <w:jc w:val="center"/>
        </w:trPr>
        <w:tc>
          <w:tcPr>
            <w:tcW w:w="2655" w:type="dxa"/>
            <w:gridSpan w:val="3"/>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从事教育教学改革研究及获奖情况（含教改项目、研究论文、慕课、教材等）</w:t>
            </w:r>
          </w:p>
        </w:tc>
        <w:tc>
          <w:tcPr>
            <w:tcW w:w="6921" w:type="dxa"/>
            <w:gridSpan w:val="8"/>
          </w:tcPr>
          <w:p>
            <w:pPr>
              <w:autoSpaceDE w:val="0"/>
              <w:autoSpaceDN w:val="0"/>
              <w:spacing w:line="400" w:lineRule="exact"/>
              <w:rPr>
                <w:rFonts w:hint="eastAsia" w:ascii="宋体" w:hAnsi="宋体"/>
                <w:kern w:val="0"/>
                <w:sz w:val="24"/>
                <w:lang w:val="zh-CN" w:bidi="zh-CN"/>
              </w:rPr>
            </w:pPr>
            <w:r>
              <w:rPr>
                <w:rFonts w:hint="eastAsia" w:ascii="宋体" w:hAnsi="宋体"/>
                <w:kern w:val="0"/>
                <w:sz w:val="24"/>
                <w:lang w:val="zh-CN" w:bidi="zh-CN"/>
              </w:rPr>
              <w:t>主持或参与广西高等教育教改工程项目多项，获广西高等教育自治区级教学成果一等奖1项、二等奖2项。指导本科生“互联网+”“挑战杯”等竞赛多次获奖。在教学中注重经济学理论与数字经济发展前沿的融合，积极探索“新文科”背景下经管类人才培养模式改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4" w:hRule="atLeast"/>
          <w:jc w:val="center"/>
        </w:trPr>
        <w:tc>
          <w:tcPr>
            <w:tcW w:w="2655" w:type="dxa"/>
            <w:gridSpan w:val="3"/>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从事科学研究</w:t>
            </w:r>
          </w:p>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及获奖情况</w:t>
            </w:r>
          </w:p>
        </w:tc>
        <w:tc>
          <w:tcPr>
            <w:tcW w:w="6921" w:type="dxa"/>
            <w:gridSpan w:val="8"/>
          </w:tcPr>
          <w:p>
            <w:pPr>
              <w:autoSpaceDE w:val="0"/>
              <w:autoSpaceDN w:val="0"/>
              <w:spacing w:line="400" w:lineRule="exact"/>
              <w:rPr>
                <w:rFonts w:hint="eastAsia" w:ascii="宋体" w:hAnsi="宋体"/>
                <w:kern w:val="0"/>
                <w:sz w:val="24"/>
                <w:lang w:val="zh-CN" w:bidi="zh-CN"/>
              </w:rPr>
            </w:pPr>
            <w:r>
              <w:rPr>
                <w:rFonts w:hint="eastAsia" w:ascii="宋体" w:hAnsi="宋体"/>
                <w:kern w:val="0"/>
                <w:sz w:val="24"/>
                <w:lang w:val="zh-CN" w:bidi="zh-CN"/>
              </w:rPr>
              <w:t>主持国家社科基金项目2项、国家社科基金重大项目子课题1项</w:t>
            </w:r>
            <w:r>
              <w:rPr>
                <w:rFonts w:hint="eastAsia" w:ascii="宋体" w:hAnsi="宋体"/>
                <w:kern w:val="0"/>
                <w:sz w:val="24"/>
                <w:lang w:bidi="zh-CN"/>
              </w:rPr>
              <w:t>/</w:t>
            </w:r>
            <w:r>
              <w:rPr>
                <w:rFonts w:hint="eastAsia" w:ascii="宋体" w:hAnsi="宋体"/>
                <w:kern w:val="0"/>
                <w:sz w:val="24"/>
                <w:lang w:val="zh-CN" w:bidi="zh-CN"/>
              </w:rPr>
              <w:t>省部级项目5项。在《学术月刊》《财经问题研究》《社会</w:t>
            </w:r>
            <w:r>
              <w:rPr>
                <w:rFonts w:hint="eastAsia" w:ascii="宋体" w:hAnsi="宋体"/>
                <w:kern w:val="0"/>
                <w:sz w:val="24"/>
                <w:lang w:bidi="zh-CN"/>
              </w:rPr>
              <w:t>学科</w:t>
            </w:r>
            <w:r>
              <w:rPr>
                <w:rFonts w:hint="eastAsia" w:ascii="宋体" w:hAnsi="宋体"/>
                <w:kern w:val="0"/>
                <w:sz w:val="24"/>
                <w:lang w:val="zh-CN" w:bidi="zh-CN"/>
              </w:rPr>
              <w:t>》等权威期刊和CSSCI期刊公开发表学术论文</w:t>
            </w:r>
            <w:r>
              <w:rPr>
                <w:rFonts w:hint="eastAsia" w:ascii="宋体" w:hAnsi="宋体"/>
                <w:kern w:val="0"/>
                <w:sz w:val="24"/>
                <w:lang w:bidi="zh-CN"/>
              </w:rPr>
              <w:t>5</w:t>
            </w:r>
            <w:r>
              <w:rPr>
                <w:rFonts w:hint="eastAsia" w:ascii="宋体" w:hAnsi="宋体"/>
                <w:kern w:val="0"/>
                <w:sz w:val="24"/>
                <w:lang w:val="zh-CN" w:bidi="zh-CN"/>
              </w:rPr>
              <w:t>0余篇，其中多篇论文被《新华文摘》（</w:t>
            </w:r>
            <w:r>
              <w:rPr>
                <w:rFonts w:hint="eastAsia" w:ascii="宋体" w:hAnsi="宋体"/>
                <w:kern w:val="0"/>
                <w:sz w:val="24"/>
                <w:lang w:bidi="zh-CN"/>
              </w:rPr>
              <w:t>4</w:t>
            </w:r>
            <w:r>
              <w:rPr>
                <w:rFonts w:hint="eastAsia" w:ascii="宋体" w:hAnsi="宋体"/>
                <w:kern w:val="0"/>
                <w:sz w:val="24"/>
                <w:lang w:val="zh-CN" w:bidi="zh-CN"/>
              </w:rPr>
              <w:t>篇）、《中国社会科学文摘》（2篇）和《人大复印资料》全文转载。出版学术专著6部。获广西社会科学优秀成果一等奖1项、</w:t>
            </w:r>
            <w:r>
              <w:rPr>
                <w:rFonts w:hint="eastAsia" w:ascii="宋体" w:hAnsi="宋体"/>
                <w:kern w:val="0"/>
                <w:sz w:val="24"/>
                <w:lang w:bidi="zh-CN"/>
              </w:rPr>
              <w:t>二等奖1项、</w:t>
            </w:r>
            <w:r>
              <w:rPr>
                <w:rFonts w:hint="eastAsia" w:ascii="宋体" w:hAnsi="宋体"/>
                <w:kern w:val="0"/>
                <w:sz w:val="24"/>
                <w:lang w:val="zh-CN" w:bidi="zh-CN"/>
              </w:rPr>
              <w:t>三等奖</w:t>
            </w:r>
            <w:r>
              <w:rPr>
                <w:rFonts w:hint="eastAsia" w:ascii="宋体" w:hAnsi="宋体"/>
                <w:kern w:val="0"/>
                <w:sz w:val="24"/>
                <w:lang w:bidi="zh-CN"/>
              </w:rPr>
              <w:t>4</w:t>
            </w:r>
            <w:r>
              <w:rPr>
                <w:rFonts w:hint="eastAsia" w:ascii="宋体" w:hAnsi="宋体"/>
                <w:kern w:val="0"/>
                <w:sz w:val="24"/>
                <w:lang w:val="zh-CN" w:bidi="zh-CN"/>
              </w:rPr>
              <w:t>项。入选“</w:t>
            </w:r>
            <w:r>
              <w:rPr>
                <w:rFonts w:hint="eastAsia" w:ascii="宋体" w:hAnsi="宋体"/>
                <w:kern w:val="0"/>
                <w:sz w:val="24"/>
                <w:lang w:bidi="zh-CN"/>
              </w:rPr>
              <w:t>省级高层次人才计划”“</w:t>
            </w:r>
            <w:r>
              <w:rPr>
                <w:rFonts w:hint="eastAsia" w:ascii="宋体" w:hAnsi="宋体"/>
                <w:kern w:val="0"/>
                <w:sz w:val="24"/>
                <w:lang w:val="zh-CN" w:bidi="zh-CN"/>
              </w:rPr>
              <w:t>广西高等学校千名中青年骨干教师培育计划”“广西十百千知识产权（专利）中青年专家”，兼任中华外国经济学说研究会常务理事。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jc w:val="center"/>
        </w:trPr>
        <w:tc>
          <w:tcPr>
            <w:tcW w:w="2655" w:type="dxa"/>
            <w:gridSpan w:val="3"/>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近三年获得教学</w:t>
            </w:r>
          </w:p>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研究经费（万元）</w:t>
            </w:r>
          </w:p>
        </w:tc>
        <w:tc>
          <w:tcPr>
            <w:tcW w:w="2735" w:type="dxa"/>
            <w:gridSpan w:val="3"/>
            <w:vAlign w:val="center"/>
          </w:tcPr>
          <w:p>
            <w:pPr>
              <w:autoSpaceDE w:val="0"/>
              <w:autoSpaceDN w:val="0"/>
              <w:spacing w:line="400" w:lineRule="exact"/>
              <w:jc w:val="center"/>
              <w:rPr>
                <w:rFonts w:hint="eastAsia" w:ascii="宋体" w:hAnsi="宋体"/>
                <w:kern w:val="0"/>
                <w:sz w:val="24"/>
                <w:lang w:bidi="zh-CN"/>
              </w:rPr>
            </w:pPr>
            <w:r>
              <w:rPr>
                <w:rFonts w:hint="eastAsia" w:ascii="宋体" w:hAnsi="宋体"/>
                <w:kern w:val="0"/>
                <w:sz w:val="24"/>
                <w:lang w:bidi="zh-CN"/>
              </w:rPr>
              <w:t>5</w:t>
            </w:r>
          </w:p>
        </w:tc>
        <w:tc>
          <w:tcPr>
            <w:tcW w:w="1876" w:type="dxa"/>
            <w:gridSpan w:val="2"/>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近三年获得科学</w:t>
            </w:r>
          </w:p>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研究经费（万元）</w:t>
            </w:r>
          </w:p>
        </w:tc>
        <w:tc>
          <w:tcPr>
            <w:tcW w:w="2310" w:type="dxa"/>
            <w:gridSpan w:val="3"/>
            <w:vAlign w:val="center"/>
          </w:tcPr>
          <w:p>
            <w:pPr>
              <w:autoSpaceDE w:val="0"/>
              <w:autoSpaceDN w:val="0"/>
              <w:spacing w:line="400" w:lineRule="exact"/>
              <w:jc w:val="center"/>
              <w:rPr>
                <w:rFonts w:hint="eastAsia" w:ascii="宋体" w:hAnsi="宋体"/>
                <w:kern w:val="0"/>
                <w:sz w:val="24"/>
                <w:lang w:bidi="zh-CN"/>
              </w:rPr>
            </w:pPr>
            <w:r>
              <w:rPr>
                <w:rFonts w:hint="eastAsia" w:ascii="宋体" w:hAnsi="宋体"/>
                <w:kern w:val="0"/>
                <w:sz w:val="24"/>
                <w:lang w:bidi="zh-CN"/>
              </w:rPr>
              <w:t>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6" w:hRule="atLeast"/>
          <w:jc w:val="center"/>
        </w:trPr>
        <w:tc>
          <w:tcPr>
            <w:tcW w:w="2655" w:type="dxa"/>
            <w:gridSpan w:val="3"/>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近三年给本科生授课</w:t>
            </w:r>
          </w:p>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课程及学时数</w:t>
            </w:r>
          </w:p>
        </w:tc>
        <w:tc>
          <w:tcPr>
            <w:tcW w:w="2735" w:type="dxa"/>
            <w:gridSpan w:val="3"/>
            <w:vAlign w:val="center"/>
          </w:tcPr>
          <w:p>
            <w:pPr>
              <w:autoSpaceDE w:val="0"/>
              <w:autoSpaceDN w:val="0"/>
              <w:spacing w:line="400" w:lineRule="exact"/>
              <w:jc w:val="center"/>
              <w:rPr>
                <w:rFonts w:hint="eastAsia" w:ascii="宋体" w:hAnsi="宋体"/>
                <w:kern w:val="0"/>
                <w:sz w:val="24"/>
                <w:lang w:bidi="zh-CN"/>
              </w:rPr>
            </w:pPr>
            <w:r>
              <w:rPr>
                <w:rFonts w:hint="eastAsia" w:ascii="宋体" w:hAnsi="宋体"/>
                <w:kern w:val="0"/>
                <w:sz w:val="24"/>
                <w:lang w:val="zh-CN" w:bidi="zh-CN"/>
              </w:rPr>
              <w:t>当代中国经济（26学时）、西南民族地区乡村振兴理论与实践（51学时）、中国—东盟区域经济专题（16学时）、广西经济发展与改革专题（6学时）、</w:t>
            </w:r>
            <w:r>
              <w:rPr>
                <w:rFonts w:hint="eastAsia" w:ascii="宋体" w:hAnsi="宋体"/>
                <w:kern w:val="0"/>
                <w:sz w:val="24"/>
                <w:lang w:bidi="zh-CN"/>
              </w:rPr>
              <w:t>习近平经济思想概论（12学时）</w:t>
            </w:r>
          </w:p>
        </w:tc>
        <w:tc>
          <w:tcPr>
            <w:tcW w:w="1876" w:type="dxa"/>
            <w:gridSpan w:val="2"/>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近三年指导本科</w:t>
            </w:r>
          </w:p>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毕业设计（人次）</w:t>
            </w:r>
          </w:p>
        </w:tc>
        <w:tc>
          <w:tcPr>
            <w:tcW w:w="2310" w:type="dxa"/>
            <w:gridSpan w:val="3"/>
            <w:vAlign w:val="center"/>
          </w:tcPr>
          <w:p>
            <w:pPr>
              <w:autoSpaceDE w:val="0"/>
              <w:autoSpaceDN w:val="0"/>
              <w:spacing w:line="400" w:lineRule="exact"/>
              <w:jc w:val="center"/>
              <w:rPr>
                <w:rFonts w:hint="eastAsia" w:ascii="宋体" w:hAnsi="宋体"/>
                <w:kern w:val="0"/>
                <w:sz w:val="24"/>
                <w:lang w:bidi="zh-CN"/>
              </w:rPr>
            </w:pPr>
            <w:r>
              <w:rPr>
                <w:rFonts w:hint="eastAsia" w:ascii="宋体" w:hAnsi="宋体"/>
                <w:kern w:val="0"/>
                <w:sz w:val="24"/>
                <w:lang w:bidi="zh-CN"/>
              </w:rPr>
              <w:t>19</w:t>
            </w:r>
          </w:p>
        </w:tc>
      </w:tr>
    </w:tbl>
    <w:p>
      <w:pPr>
        <w:autoSpaceDE w:val="0"/>
        <w:autoSpaceDN w:val="0"/>
        <w:spacing w:line="400" w:lineRule="exact"/>
        <w:ind w:left="20"/>
        <w:jc w:val="center"/>
        <w:rPr>
          <w:rFonts w:hint="eastAsia" w:ascii="黑体" w:hAnsi="黑体" w:eastAsia="黑体" w:cs="黑体"/>
          <w:color w:val="00B0F0"/>
          <w:kern w:val="0"/>
          <w:sz w:val="32"/>
          <w:szCs w:val="32"/>
          <w:lang w:val="zh-CN" w:bidi="zh-CN"/>
        </w:rPr>
      </w:pPr>
      <w:r>
        <w:rPr>
          <w:rFonts w:hint="eastAsia" w:ascii="Times New Roman" w:hAnsi="Times New Roman" w:eastAsia="黑体" w:cs="黑体"/>
          <w:kern w:val="0"/>
          <w:sz w:val="32"/>
          <w:szCs w:val="32"/>
          <w:lang w:bidi="zh-CN"/>
        </w:rPr>
        <w:t>6</w:t>
      </w:r>
      <w:r>
        <w:rPr>
          <w:rFonts w:ascii="黑体" w:hAnsi="黑体" w:eastAsia="黑体" w:cs="黑体"/>
          <w:kern w:val="0"/>
          <w:sz w:val="32"/>
          <w:szCs w:val="32"/>
          <w:lang w:val="zh-CN" w:bidi="zh-CN"/>
        </w:rPr>
        <w:t>.专业主要带头人简介</w:t>
      </w:r>
      <w:r>
        <w:rPr>
          <w:rFonts w:hint="eastAsia" w:ascii="黑体" w:hAnsi="黑体" w:eastAsia="黑体" w:cs="黑体"/>
          <w:kern w:val="0"/>
          <w:sz w:val="32"/>
          <w:szCs w:val="32"/>
          <w:lang w:val="zh-CN" w:bidi="zh-CN"/>
        </w:rPr>
        <w:t>（</w:t>
      </w:r>
      <w:r>
        <w:rPr>
          <w:rFonts w:hint="eastAsia" w:ascii="黑体" w:hAnsi="黑体" w:eastAsia="黑体" w:cs="黑体"/>
          <w:kern w:val="0"/>
          <w:sz w:val="32"/>
          <w:szCs w:val="32"/>
          <w:lang w:bidi="zh-CN"/>
        </w:rPr>
        <w:t>2</w:t>
      </w:r>
      <w:r>
        <w:rPr>
          <w:rFonts w:hint="eastAsia" w:ascii="黑体" w:hAnsi="黑体" w:eastAsia="黑体" w:cs="黑体"/>
          <w:kern w:val="0"/>
          <w:sz w:val="32"/>
          <w:szCs w:val="32"/>
          <w:lang w:val="zh-CN" w:bidi="zh-CN"/>
        </w:rPr>
        <w:t>）</w:t>
      </w:r>
    </w:p>
    <w:tbl>
      <w:tblPr>
        <w:tblStyle w:val="40"/>
        <w:tblW w:w="957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0"/>
        <w:gridCol w:w="858"/>
        <w:gridCol w:w="826"/>
        <w:gridCol w:w="618"/>
        <w:gridCol w:w="769"/>
        <w:gridCol w:w="492"/>
        <w:gridCol w:w="239"/>
        <w:gridCol w:w="199"/>
        <w:gridCol w:w="766"/>
        <w:gridCol w:w="516"/>
        <w:gridCol w:w="1023"/>
        <w:gridCol w:w="23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960" w:type="dxa"/>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姓名</w:t>
            </w:r>
          </w:p>
        </w:tc>
        <w:tc>
          <w:tcPr>
            <w:tcW w:w="858" w:type="dxa"/>
            <w:vAlign w:val="center"/>
          </w:tcPr>
          <w:p>
            <w:pPr>
              <w:autoSpaceDE w:val="0"/>
              <w:autoSpaceDN w:val="0"/>
              <w:spacing w:line="400" w:lineRule="exact"/>
              <w:jc w:val="center"/>
              <w:rPr>
                <w:rFonts w:hint="eastAsia" w:ascii="宋体" w:hAnsi="宋体"/>
                <w:sz w:val="24"/>
              </w:rPr>
            </w:pPr>
            <w:r>
              <w:rPr>
                <w:rFonts w:hint="eastAsia" w:ascii="宋体" w:hAnsi="宋体"/>
                <w:sz w:val="24"/>
              </w:rPr>
              <w:t>伍先福</w:t>
            </w:r>
          </w:p>
        </w:tc>
        <w:tc>
          <w:tcPr>
            <w:tcW w:w="826" w:type="dxa"/>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性别</w:t>
            </w:r>
          </w:p>
        </w:tc>
        <w:tc>
          <w:tcPr>
            <w:tcW w:w="618" w:type="dxa"/>
            <w:vAlign w:val="center"/>
          </w:tcPr>
          <w:p>
            <w:pPr>
              <w:autoSpaceDE w:val="0"/>
              <w:autoSpaceDN w:val="0"/>
              <w:spacing w:line="400" w:lineRule="exact"/>
              <w:jc w:val="center"/>
              <w:rPr>
                <w:rFonts w:hint="eastAsia" w:ascii="宋体" w:hAnsi="宋体"/>
                <w:sz w:val="24"/>
              </w:rPr>
            </w:pPr>
            <w:r>
              <w:rPr>
                <w:rFonts w:hint="eastAsia" w:ascii="宋体" w:hAnsi="宋体"/>
                <w:sz w:val="24"/>
              </w:rPr>
              <w:t>男</w:t>
            </w:r>
          </w:p>
        </w:tc>
        <w:tc>
          <w:tcPr>
            <w:tcW w:w="769" w:type="dxa"/>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专业技术职务</w:t>
            </w:r>
          </w:p>
        </w:tc>
        <w:tc>
          <w:tcPr>
            <w:tcW w:w="731" w:type="dxa"/>
            <w:gridSpan w:val="2"/>
            <w:vAlign w:val="center"/>
          </w:tcPr>
          <w:p>
            <w:pPr>
              <w:autoSpaceDE w:val="0"/>
              <w:autoSpaceDN w:val="0"/>
              <w:spacing w:line="400" w:lineRule="exact"/>
              <w:jc w:val="center"/>
              <w:rPr>
                <w:rFonts w:hint="eastAsia" w:ascii="宋体" w:hAnsi="宋体"/>
                <w:sz w:val="24"/>
              </w:rPr>
            </w:pPr>
            <w:r>
              <w:rPr>
                <w:rFonts w:hint="eastAsia" w:ascii="宋体" w:hAnsi="宋体"/>
                <w:sz w:val="24"/>
              </w:rPr>
              <w:t>教授</w:t>
            </w:r>
          </w:p>
        </w:tc>
        <w:tc>
          <w:tcPr>
            <w:tcW w:w="965" w:type="dxa"/>
            <w:gridSpan w:val="2"/>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行政</w:t>
            </w:r>
          </w:p>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职务</w:t>
            </w:r>
          </w:p>
        </w:tc>
        <w:tc>
          <w:tcPr>
            <w:tcW w:w="3849" w:type="dxa"/>
            <w:gridSpan w:val="3"/>
            <w:vAlign w:val="center"/>
          </w:tcPr>
          <w:p>
            <w:pPr>
              <w:autoSpaceDE w:val="0"/>
              <w:autoSpaceDN w:val="0"/>
              <w:spacing w:line="400" w:lineRule="exact"/>
              <w:jc w:val="center"/>
              <w:rPr>
                <w:rFonts w:hint="eastAsia" w:ascii="宋体" w:hAnsi="宋体"/>
                <w:sz w:val="24"/>
              </w:rPr>
            </w:pPr>
            <w:r>
              <w:rPr>
                <w:rFonts w:hint="eastAsia" w:ascii="宋体" w:hAnsi="宋体"/>
                <w:sz w:val="24"/>
              </w:rPr>
              <w:t>经济管理学院副院长、广西高校数字赋能经济发展重点实验室主任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jc w:val="center"/>
        </w:trPr>
        <w:tc>
          <w:tcPr>
            <w:tcW w:w="960" w:type="dxa"/>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拟承担</w:t>
            </w:r>
          </w:p>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课程</w:t>
            </w:r>
          </w:p>
        </w:tc>
        <w:tc>
          <w:tcPr>
            <w:tcW w:w="3563" w:type="dxa"/>
            <w:gridSpan w:val="5"/>
            <w:vAlign w:val="center"/>
          </w:tcPr>
          <w:p>
            <w:pPr>
              <w:autoSpaceDE w:val="0"/>
              <w:autoSpaceDN w:val="0"/>
              <w:spacing w:line="400" w:lineRule="exact"/>
              <w:jc w:val="center"/>
              <w:rPr>
                <w:rFonts w:hint="eastAsia" w:ascii="宋体" w:hAnsi="宋体"/>
                <w:kern w:val="0"/>
                <w:sz w:val="24"/>
                <w:lang w:bidi="zh-CN"/>
              </w:rPr>
            </w:pPr>
            <w:r>
              <w:rPr>
                <w:rFonts w:hint="eastAsia" w:ascii="宋体" w:hAnsi="宋体"/>
                <w:kern w:val="0"/>
                <w:sz w:val="24"/>
                <w:lang w:bidi="zh-CN"/>
              </w:rPr>
              <w:t>经济大数据</w:t>
            </w:r>
          </w:p>
        </w:tc>
        <w:tc>
          <w:tcPr>
            <w:tcW w:w="1720" w:type="dxa"/>
            <w:gridSpan w:val="4"/>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现在所在单位</w:t>
            </w:r>
          </w:p>
        </w:tc>
        <w:tc>
          <w:tcPr>
            <w:tcW w:w="3333" w:type="dxa"/>
            <w:gridSpan w:val="2"/>
            <w:vAlign w:val="center"/>
          </w:tcPr>
          <w:p>
            <w:pPr>
              <w:autoSpaceDE w:val="0"/>
              <w:autoSpaceDN w:val="0"/>
              <w:spacing w:line="400" w:lineRule="exact"/>
              <w:jc w:val="center"/>
              <w:rPr>
                <w:rFonts w:hint="eastAsia" w:ascii="宋体" w:hAnsi="宋体"/>
                <w:kern w:val="0"/>
                <w:sz w:val="24"/>
                <w:lang w:val="zh-CN" w:bidi="zh-CN"/>
              </w:rPr>
            </w:pPr>
            <w:r>
              <w:rPr>
                <w:rFonts w:hint="eastAsia" w:ascii="宋体" w:hAnsi="宋体"/>
                <w:kern w:val="0"/>
                <w:sz w:val="24"/>
                <w:lang w:val="zh-CN" w:bidi="zh-CN"/>
              </w:rPr>
              <w:t>广西师范大学经济管理学院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jc w:val="center"/>
        </w:trPr>
        <w:tc>
          <w:tcPr>
            <w:tcW w:w="2644" w:type="dxa"/>
            <w:gridSpan w:val="3"/>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最后学历毕业时间、</w:t>
            </w:r>
          </w:p>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学校、专业</w:t>
            </w:r>
          </w:p>
        </w:tc>
        <w:tc>
          <w:tcPr>
            <w:tcW w:w="6932" w:type="dxa"/>
            <w:gridSpan w:val="9"/>
            <w:vAlign w:val="center"/>
          </w:tcPr>
          <w:p>
            <w:pPr>
              <w:autoSpaceDE w:val="0"/>
              <w:autoSpaceDN w:val="0"/>
              <w:spacing w:line="400" w:lineRule="exact"/>
              <w:rPr>
                <w:rFonts w:hint="eastAsia" w:ascii="宋体" w:hAnsi="宋体"/>
                <w:kern w:val="0"/>
                <w:sz w:val="24"/>
                <w:lang w:val="zh-CN" w:bidi="zh-CN"/>
              </w:rPr>
            </w:pPr>
            <w:r>
              <w:rPr>
                <w:rFonts w:hint="eastAsia" w:ascii="宋体" w:hAnsi="宋体"/>
                <w:kern w:val="0"/>
                <w:sz w:val="24"/>
                <w:lang w:val="zh-CN" w:bidi="zh-CN"/>
              </w:rPr>
              <w:t>2017年7月毕业于广西大学商学院，产业经济学专业，经济学博士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2644" w:type="dxa"/>
            <w:gridSpan w:val="3"/>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主要研究方向</w:t>
            </w:r>
          </w:p>
        </w:tc>
        <w:tc>
          <w:tcPr>
            <w:tcW w:w="6932" w:type="dxa"/>
            <w:gridSpan w:val="9"/>
          </w:tcPr>
          <w:p>
            <w:pPr>
              <w:autoSpaceDE w:val="0"/>
              <w:autoSpaceDN w:val="0"/>
              <w:spacing w:line="400" w:lineRule="exact"/>
              <w:rPr>
                <w:rFonts w:hint="eastAsia" w:ascii="宋体" w:hAnsi="宋体"/>
                <w:kern w:val="0"/>
                <w:sz w:val="24"/>
                <w:lang w:val="zh-CN" w:bidi="zh-CN"/>
              </w:rPr>
            </w:pPr>
            <w:r>
              <w:rPr>
                <w:rFonts w:hint="eastAsia" w:ascii="宋体" w:hAnsi="宋体"/>
                <w:kern w:val="0"/>
                <w:sz w:val="24"/>
                <w:lang w:val="zh-CN" w:bidi="zh-CN"/>
              </w:rPr>
              <w:t>工业互联网与技术创新、数字经济、全球价值链升级、产业集聚与城市经济发展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26" w:hRule="atLeast"/>
          <w:jc w:val="center"/>
        </w:trPr>
        <w:tc>
          <w:tcPr>
            <w:tcW w:w="2644" w:type="dxa"/>
            <w:gridSpan w:val="3"/>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从事教育教学改革研究及获奖情况（含教改项目、研究论文、慕课、教材等）</w:t>
            </w:r>
          </w:p>
        </w:tc>
        <w:tc>
          <w:tcPr>
            <w:tcW w:w="6932" w:type="dxa"/>
            <w:gridSpan w:val="9"/>
          </w:tcPr>
          <w:p>
            <w:pPr>
              <w:autoSpaceDE w:val="0"/>
              <w:autoSpaceDN w:val="0"/>
              <w:spacing w:line="400" w:lineRule="exact"/>
              <w:rPr>
                <w:rFonts w:hint="eastAsia" w:ascii="宋体" w:hAnsi="宋体"/>
                <w:kern w:val="0"/>
                <w:sz w:val="24"/>
                <w:lang w:val="zh-CN" w:bidi="zh-CN"/>
              </w:rPr>
            </w:pPr>
            <w:r>
              <w:rPr>
                <w:rFonts w:hint="eastAsia" w:ascii="宋体" w:hAnsi="宋体"/>
                <w:kern w:val="0"/>
                <w:sz w:val="24"/>
                <w:lang w:val="zh-CN" w:bidi="zh-CN"/>
              </w:rPr>
              <w:t>主持广西自治区级新文科研究与实践项目、广西高等教育教学改革工程项目多项。主持完成的《跨界—融合—颠覆—新生：多平台同频共振培养经管类创新人才的探索与实践》获广西高等教育自治区级教学成果一等奖（排名第一）；主讲课程《因地制宜发展新质生产力，高效打造粤港澳大湾区重要战略腹地》入选广西壮族自治区党委组织部“广西干部教育培训好课程”。为本科生讲授《产业经济学》《微观经济学》《宏观经济学》等课程，教学效果优良，注重案例教学与实践教学相结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4" w:hRule="atLeast"/>
          <w:jc w:val="center"/>
        </w:trPr>
        <w:tc>
          <w:tcPr>
            <w:tcW w:w="2644" w:type="dxa"/>
            <w:gridSpan w:val="3"/>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从事科学研究</w:t>
            </w:r>
          </w:p>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及获奖情况</w:t>
            </w:r>
          </w:p>
        </w:tc>
        <w:tc>
          <w:tcPr>
            <w:tcW w:w="6932" w:type="dxa"/>
            <w:gridSpan w:val="9"/>
          </w:tcPr>
          <w:p>
            <w:pPr>
              <w:autoSpaceDE w:val="0"/>
              <w:autoSpaceDN w:val="0"/>
              <w:spacing w:line="400" w:lineRule="exact"/>
              <w:rPr>
                <w:rFonts w:hint="eastAsia" w:ascii="宋体" w:hAnsi="宋体"/>
                <w:kern w:val="0"/>
                <w:sz w:val="24"/>
                <w:lang w:val="zh-CN" w:bidi="zh-CN"/>
              </w:rPr>
            </w:pPr>
            <w:r>
              <w:rPr>
                <w:rFonts w:hint="eastAsia" w:ascii="宋体" w:hAnsi="宋体"/>
                <w:kern w:val="0"/>
                <w:sz w:val="24"/>
                <w:lang w:val="zh-CN" w:bidi="zh-CN"/>
              </w:rPr>
              <w:t>兼任广西师范大学金融硕士（MF）教育中心常务副主任、应用经济学一级学科硕士点负责人；担任国家自然科学基金和国家社会科学基金通讯评审专家、中国西促会数字经济专业委员会副秘书长、中国“双法会”经济数学与管理数学分会第八届理事会理事、中国商业经济学会数字经济专业委员会委员等职。</w:t>
            </w:r>
          </w:p>
          <w:p>
            <w:pPr>
              <w:autoSpaceDE w:val="0"/>
              <w:autoSpaceDN w:val="0"/>
              <w:spacing w:line="400" w:lineRule="exact"/>
              <w:rPr>
                <w:rFonts w:hint="eastAsia" w:ascii="宋体" w:hAnsi="宋体"/>
                <w:kern w:val="0"/>
                <w:sz w:val="24"/>
                <w:lang w:val="zh-CN" w:bidi="zh-CN"/>
              </w:rPr>
            </w:pPr>
            <w:r>
              <w:rPr>
                <w:rFonts w:hint="eastAsia" w:ascii="宋体" w:hAnsi="宋体"/>
                <w:kern w:val="0"/>
                <w:sz w:val="24"/>
                <w:lang w:val="zh-CN" w:bidi="zh-CN"/>
              </w:rPr>
              <w:t>主持国家自然科学基金项目2项，主持省部级纵向课题6项，主持地厅级纵向课题9项，主持或负责完成政府横向委托课题20余项。出版《生产性服务业与制造业协同集聚对全要素生产率的影响》等著作2部，参编著作5部。在《经济地理》《财经科学》《当代财经》等知名学术期刊公开发表专业论文60余篇，其中CSSCI来源期刊15篇、北大中文核心期刊25篇。研究成果获广西社会科学优秀成果二等奖1项（独著）、文化和旅游部优秀科研成果三等奖1项（第三）、“桂林市社会科学优秀成果奖”三等奖2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jc w:val="center"/>
        </w:trPr>
        <w:tc>
          <w:tcPr>
            <w:tcW w:w="2644" w:type="dxa"/>
            <w:gridSpan w:val="3"/>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近三年获得教学</w:t>
            </w:r>
          </w:p>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研究经费（万元）</w:t>
            </w:r>
          </w:p>
        </w:tc>
        <w:tc>
          <w:tcPr>
            <w:tcW w:w="2317" w:type="dxa"/>
            <w:gridSpan w:val="5"/>
            <w:vAlign w:val="center"/>
          </w:tcPr>
          <w:p>
            <w:pPr>
              <w:autoSpaceDE w:val="0"/>
              <w:autoSpaceDN w:val="0"/>
              <w:spacing w:line="400" w:lineRule="exact"/>
              <w:jc w:val="center"/>
              <w:rPr>
                <w:rFonts w:hint="eastAsia" w:ascii="宋体" w:hAnsi="宋体"/>
                <w:kern w:val="0"/>
                <w:sz w:val="24"/>
                <w:lang w:val="zh-CN" w:bidi="zh-CN"/>
              </w:rPr>
            </w:pPr>
            <w:r>
              <w:rPr>
                <w:rFonts w:hint="eastAsia" w:ascii="宋体" w:hAnsi="宋体"/>
                <w:kern w:val="0"/>
                <w:sz w:val="24"/>
                <w:lang w:val="zh-CN" w:bidi="zh-CN"/>
              </w:rPr>
              <w:t>3</w:t>
            </w:r>
          </w:p>
        </w:tc>
        <w:tc>
          <w:tcPr>
            <w:tcW w:w="2305" w:type="dxa"/>
            <w:gridSpan w:val="3"/>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近三年获得科学</w:t>
            </w:r>
          </w:p>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研究经费（万元）</w:t>
            </w:r>
          </w:p>
        </w:tc>
        <w:tc>
          <w:tcPr>
            <w:tcW w:w="2310" w:type="dxa"/>
            <w:vAlign w:val="center"/>
          </w:tcPr>
          <w:p>
            <w:pPr>
              <w:autoSpaceDE w:val="0"/>
              <w:autoSpaceDN w:val="0"/>
              <w:spacing w:line="400" w:lineRule="exact"/>
              <w:jc w:val="center"/>
              <w:rPr>
                <w:rFonts w:hint="eastAsia" w:ascii="宋体" w:hAnsi="宋体"/>
                <w:kern w:val="0"/>
                <w:sz w:val="24"/>
                <w:lang w:bidi="zh-CN"/>
              </w:rPr>
            </w:pPr>
            <w:r>
              <w:rPr>
                <w:rFonts w:hint="eastAsia" w:ascii="宋体" w:hAnsi="宋体"/>
                <w:kern w:val="0"/>
                <w:sz w:val="24"/>
                <w:lang w:bidi="zh-CN"/>
              </w:rPr>
              <w:t>61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9" w:hRule="atLeast"/>
          <w:jc w:val="center"/>
        </w:trPr>
        <w:tc>
          <w:tcPr>
            <w:tcW w:w="2644" w:type="dxa"/>
            <w:gridSpan w:val="3"/>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近三年给本科生授课</w:t>
            </w:r>
          </w:p>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课程及学时数</w:t>
            </w:r>
          </w:p>
        </w:tc>
        <w:tc>
          <w:tcPr>
            <w:tcW w:w="2317" w:type="dxa"/>
            <w:gridSpan w:val="5"/>
            <w:vAlign w:val="center"/>
          </w:tcPr>
          <w:p>
            <w:pPr>
              <w:autoSpaceDE w:val="0"/>
              <w:autoSpaceDN w:val="0"/>
              <w:spacing w:line="400" w:lineRule="exact"/>
              <w:jc w:val="center"/>
              <w:rPr>
                <w:rFonts w:hint="eastAsia" w:ascii="宋体" w:hAnsi="宋体"/>
                <w:kern w:val="0"/>
                <w:sz w:val="24"/>
                <w:lang w:val="zh-CN" w:bidi="zh-CN"/>
              </w:rPr>
            </w:pPr>
            <w:r>
              <w:rPr>
                <w:rFonts w:hint="eastAsia" w:ascii="宋体" w:hAnsi="宋体"/>
                <w:kern w:val="0"/>
                <w:sz w:val="24"/>
                <w:lang w:val="zh-CN" w:bidi="zh-CN"/>
              </w:rPr>
              <w:t>政治经济学（102学时）、微观经济学（99学时）、产业经济学（51学时）、中国—东盟区域经济专题（20学时）、广西经济发展与改革专题（12学时）、专业实习（8学时）、经济学专业导读课（6学时）</w:t>
            </w:r>
          </w:p>
        </w:tc>
        <w:tc>
          <w:tcPr>
            <w:tcW w:w="2305" w:type="dxa"/>
            <w:gridSpan w:val="3"/>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近三年指导本科</w:t>
            </w:r>
          </w:p>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毕业设计（人次）</w:t>
            </w:r>
          </w:p>
        </w:tc>
        <w:tc>
          <w:tcPr>
            <w:tcW w:w="2310" w:type="dxa"/>
            <w:vAlign w:val="center"/>
          </w:tcPr>
          <w:p>
            <w:pPr>
              <w:autoSpaceDE w:val="0"/>
              <w:autoSpaceDN w:val="0"/>
              <w:spacing w:line="400" w:lineRule="exact"/>
              <w:jc w:val="center"/>
              <w:rPr>
                <w:rFonts w:hint="eastAsia" w:ascii="宋体" w:hAnsi="宋体"/>
                <w:kern w:val="0"/>
                <w:sz w:val="24"/>
                <w:lang w:bidi="zh-CN"/>
              </w:rPr>
            </w:pPr>
            <w:r>
              <w:rPr>
                <w:rFonts w:hint="eastAsia" w:ascii="宋体" w:hAnsi="宋体"/>
                <w:kern w:val="0"/>
                <w:sz w:val="24"/>
                <w:lang w:bidi="zh-CN"/>
              </w:rPr>
              <w:t>19</w:t>
            </w:r>
          </w:p>
        </w:tc>
      </w:tr>
    </w:tbl>
    <w:p>
      <w:pPr>
        <w:autoSpaceDE w:val="0"/>
        <w:autoSpaceDN w:val="0"/>
        <w:spacing w:line="400" w:lineRule="exact"/>
        <w:ind w:left="20"/>
        <w:jc w:val="center"/>
        <w:rPr>
          <w:rFonts w:ascii="Times New Roman" w:hAnsi="Times New Roman" w:eastAsia="黑体" w:cs="黑体"/>
          <w:kern w:val="0"/>
          <w:sz w:val="32"/>
          <w:szCs w:val="32"/>
          <w:lang w:bidi="zh-CN"/>
        </w:rPr>
      </w:pPr>
    </w:p>
    <w:p>
      <w:pPr>
        <w:autoSpaceDE w:val="0"/>
        <w:autoSpaceDN w:val="0"/>
        <w:spacing w:line="400" w:lineRule="exact"/>
        <w:ind w:left="20"/>
        <w:jc w:val="center"/>
        <w:rPr>
          <w:rFonts w:hint="eastAsia" w:ascii="黑体" w:hAnsi="黑体" w:eastAsia="黑体" w:cs="黑体"/>
          <w:color w:val="00B0F0"/>
          <w:kern w:val="0"/>
          <w:sz w:val="32"/>
          <w:szCs w:val="32"/>
          <w:lang w:val="zh-CN" w:bidi="zh-CN"/>
        </w:rPr>
      </w:pPr>
      <w:r>
        <w:rPr>
          <w:rFonts w:hint="eastAsia" w:ascii="Times New Roman" w:hAnsi="Times New Roman" w:eastAsia="黑体" w:cs="黑体"/>
          <w:kern w:val="0"/>
          <w:sz w:val="32"/>
          <w:szCs w:val="32"/>
          <w:lang w:bidi="zh-CN"/>
        </w:rPr>
        <w:t>6</w:t>
      </w:r>
      <w:r>
        <w:rPr>
          <w:rFonts w:ascii="黑体" w:hAnsi="黑体" w:eastAsia="黑体" w:cs="黑体"/>
          <w:kern w:val="0"/>
          <w:sz w:val="32"/>
          <w:szCs w:val="32"/>
          <w:lang w:val="zh-CN" w:bidi="zh-CN"/>
        </w:rPr>
        <w:t>.专业主要带头人简介</w:t>
      </w:r>
      <w:r>
        <w:rPr>
          <w:rFonts w:hint="eastAsia" w:ascii="黑体" w:hAnsi="黑体" w:eastAsia="黑体" w:cs="黑体"/>
          <w:kern w:val="0"/>
          <w:sz w:val="32"/>
          <w:szCs w:val="32"/>
          <w:lang w:val="zh-CN" w:bidi="zh-CN"/>
        </w:rPr>
        <w:t>（</w:t>
      </w:r>
      <w:r>
        <w:rPr>
          <w:rFonts w:hint="eastAsia" w:ascii="黑体" w:hAnsi="黑体" w:eastAsia="黑体" w:cs="黑体"/>
          <w:kern w:val="0"/>
          <w:sz w:val="32"/>
          <w:szCs w:val="32"/>
          <w:lang w:bidi="zh-CN"/>
        </w:rPr>
        <w:t>3</w:t>
      </w:r>
      <w:r>
        <w:rPr>
          <w:rFonts w:hint="eastAsia" w:ascii="黑体" w:hAnsi="黑体" w:eastAsia="黑体" w:cs="黑体"/>
          <w:kern w:val="0"/>
          <w:sz w:val="32"/>
          <w:szCs w:val="32"/>
          <w:lang w:val="zh-CN" w:bidi="zh-CN"/>
        </w:rPr>
        <w:t>）</w:t>
      </w:r>
    </w:p>
    <w:tbl>
      <w:tblPr>
        <w:tblStyle w:val="40"/>
        <w:tblW w:w="957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0"/>
        <w:gridCol w:w="825"/>
        <w:gridCol w:w="580"/>
        <w:gridCol w:w="290"/>
        <w:gridCol w:w="306"/>
        <w:gridCol w:w="835"/>
        <w:gridCol w:w="727"/>
        <w:gridCol w:w="438"/>
        <w:gridCol w:w="117"/>
        <w:gridCol w:w="1165"/>
        <w:gridCol w:w="1023"/>
        <w:gridCol w:w="23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960" w:type="dxa"/>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姓名</w:t>
            </w:r>
          </w:p>
        </w:tc>
        <w:tc>
          <w:tcPr>
            <w:tcW w:w="825" w:type="dxa"/>
            <w:vAlign w:val="center"/>
          </w:tcPr>
          <w:p>
            <w:pPr>
              <w:autoSpaceDE w:val="0"/>
              <w:autoSpaceDN w:val="0"/>
              <w:spacing w:line="400" w:lineRule="exact"/>
              <w:jc w:val="center"/>
              <w:rPr>
                <w:rFonts w:hint="eastAsia" w:ascii="宋体" w:hAnsi="宋体"/>
                <w:sz w:val="24"/>
              </w:rPr>
            </w:pPr>
            <w:r>
              <w:rPr>
                <w:rFonts w:hint="eastAsia" w:ascii="宋体" w:hAnsi="宋体"/>
                <w:sz w:val="24"/>
              </w:rPr>
              <w:t>钟学思</w:t>
            </w:r>
          </w:p>
        </w:tc>
        <w:tc>
          <w:tcPr>
            <w:tcW w:w="580" w:type="dxa"/>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性别</w:t>
            </w:r>
          </w:p>
        </w:tc>
        <w:tc>
          <w:tcPr>
            <w:tcW w:w="596" w:type="dxa"/>
            <w:gridSpan w:val="2"/>
            <w:vAlign w:val="center"/>
          </w:tcPr>
          <w:p>
            <w:pPr>
              <w:autoSpaceDE w:val="0"/>
              <w:autoSpaceDN w:val="0"/>
              <w:spacing w:line="400" w:lineRule="exact"/>
              <w:jc w:val="center"/>
              <w:rPr>
                <w:rFonts w:hint="eastAsia" w:ascii="宋体" w:hAnsi="宋体"/>
                <w:sz w:val="24"/>
              </w:rPr>
            </w:pPr>
            <w:r>
              <w:rPr>
                <w:rFonts w:hint="eastAsia" w:ascii="宋体" w:hAnsi="宋体"/>
                <w:sz w:val="24"/>
              </w:rPr>
              <w:t>男</w:t>
            </w:r>
          </w:p>
        </w:tc>
        <w:tc>
          <w:tcPr>
            <w:tcW w:w="835" w:type="dxa"/>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专业技术职务</w:t>
            </w:r>
          </w:p>
        </w:tc>
        <w:tc>
          <w:tcPr>
            <w:tcW w:w="727" w:type="dxa"/>
            <w:vAlign w:val="center"/>
          </w:tcPr>
          <w:p>
            <w:pPr>
              <w:autoSpaceDE w:val="0"/>
              <w:autoSpaceDN w:val="0"/>
              <w:spacing w:line="400" w:lineRule="exact"/>
              <w:jc w:val="center"/>
              <w:rPr>
                <w:rFonts w:hint="eastAsia" w:ascii="宋体" w:hAnsi="宋体"/>
                <w:sz w:val="24"/>
              </w:rPr>
            </w:pPr>
            <w:r>
              <w:rPr>
                <w:rFonts w:hint="eastAsia" w:ascii="宋体" w:hAnsi="宋体"/>
                <w:sz w:val="24"/>
              </w:rPr>
              <w:t>教授</w:t>
            </w:r>
          </w:p>
        </w:tc>
        <w:tc>
          <w:tcPr>
            <w:tcW w:w="555" w:type="dxa"/>
            <w:gridSpan w:val="2"/>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行政职务</w:t>
            </w:r>
          </w:p>
        </w:tc>
        <w:tc>
          <w:tcPr>
            <w:tcW w:w="4498" w:type="dxa"/>
            <w:gridSpan w:val="3"/>
            <w:vAlign w:val="center"/>
          </w:tcPr>
          <w:p>
            <w:pPr>
              <w:autoSpaceDE w:val="0"/>
              <w:autoSpaceDN w:val="0"/>
              <w:spacing w:line="400" w:lineRule="exact"/>
              <w:jc w:val="center"/>
              <w:rPr>
                <w:rFonts w:hint="eastAsia" w:ascii="宋体" w:hAnsi="宋体"/>
                <w:sz w:val="24"/>
              </w:rPr>
            </w:pPr>
            <w:r>
              <w:rPr>
                <w:rFonts w:hint="eastAsia" w:ascii="宋体" w:hAnsi="宋体"/>
                <w:sz w:val="24"/>
              </w:rPr>
              <w:t>广西师范大学社会科学研究处副处长、广西人文社会科学发展研究中心副主任、珠江—西江经济带发展研究院副院长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0" w:hRule="atLeast"/>
          <w:jc w:val="center"/>
        </w:trPr>
        <w:tc>
          <w:tcPr>
            <w:tcW w:w="960" w:type="dxa"/>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拟承担</w:t>
            </w:r>
          </w:p>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课程</w:t>
            </w:r>
          </w:p>
        </w:tc>
        <w:tc>
          <w:tcPr>
            <w:tcW w:w="3563" w:type="dxa"/>
            <w:gridSpan w:val="6"/>
            <w:vAlign w:val="center"/>
          </w:tcPr>
          <w:p>
            <w:pPr>
              <w:autoSpaceDE w:val="0"/>
              <w:autoSpaceDN w:val="0"/>
              <w:spacing w:line="400" w:lineRule="exact"/>
              <w:jc w:val="center"/>
              <w:rPr>
                <w:rFonts w:hint="eastAsia" w:ascii="宋体" w:hAnsi="宋体"/>
                <w:kern w:val="0"/>
                <w:sz w:val="24"/>
                <w:lang w:val="zh-CN" w:bidi="zh-CN"/>
              </w:rPr>
            </w:pPr>
            <w:r>
              <w:rPr>
                <w:rFonts w:hint="eastAsia" w:ascii="宋体" w:hAnsi="宋体"/>
                <w:kern w:val="0"/>
                <w:sz w:val="24"/>
                <w:lang w:val="zh-CN" w:bidi="zh-CN"/>
              </w:rPr>
              <w:t>当代中国经济、社会主义市场经济学、微观经济学、广西经济发展与改革专题</w:t>
            </w:r>
          </w:p>
        </w:tc>
        <w:tc>
          <w:tcPr>
            <w:tcW w:w="1720" w:type="dxa"/>
            <w:gridSpan w:val="3"/>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现在所在单位</w:t>
            </w:r>
          </w:p>
        </w:tc>
        <w:tc>
          <w:tcPr>
            <w:tcW w:w="3333" w:type="dxa"/>
            <w:gridSpan w:val="2"/>
            <w:vAlign w:val="center"/>
          </w:tcPr>
          <w:p>
            <w:pPr>
              <w:autoSpaceDE w:val="0"/>
              <w:autoSpaceDN w:val="0"/>
              <w:spacing w:line="400" w:lineRule="exact"/>
              <w:jc w:val="center"/>
              <w:rPr>
                <w:rFonts w:hint="eastAsia" w:ascii="宋体" w:hAnsi="宋体"/>
                <w:kern w:val="0"/>
                <w:sz w:val="24"/>
                <w:lang w:val="zh-CN" w:bidi="zh-CN"/>
              </w:rPr>
            </w:pPr>
            <w:r>
              <w:rPr>
                <w:rFonts w:hint="eastAsia" w:ascii="宋体" w:hAnsi="宋体"/>
                <w:sz w:val="24"/>
              </w:rPr>
              <w:t>广西师范大学社会科学研究处</w:t>
            </w:r>
          </w:p>
          <w:p>
            <w:pPr>
              <w:autoSpaceDE w:val="0"/>
              <w:autoSpaceDN w:val="0"/>
              <w:spacing w:line="400" w:lineRule="exact"/>
              <w:jc w:val="center"/>
              <w:rPr>
                <w:rFonts w:hint="eastAsia" w:ascii="宋体" w:hAnsi="宋体"/>
                <w:kern w:val="0"/>
                <w:sz w:val="24"/>
                <w:lang w:val="zh-CN" w:bidi="zh-CN"/>
              </w:rPr>
            </w:pPr>
            <w:r>
              <w:rPr>
                <w:rFonts w:hint="eastAsia" w:ascii="宋体" w:hAnsi="宋体"/>
                <w:kern w:val="0"/>
                <w:sz w:val="24"/>
                <w:lang w:val="zh-CN" w:bidi="zh-CN"/>
              </w:rPr>
              <w:t>广西师范大学经济管理学院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jc w:val="center"/>
        </w:trPr>
        <w:tc>
          <w:tcPr>
            <w:tcW w:w="2655" w:type="dxa"/>
            <w:gridSpan w:val="4"/>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最后学历毕业时间、</w:t>
            </w:r>
          </w:p>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学校、专业</w:t>
            </w:r>
          </w:p>
        </w:tc>
        <w:tc>
          <w:tcPr>
            <w:tcW w:w="6921" w:type="dxa"/>
            <w:gridSpan w:val="8"/>
          </w:tcPr>
          <w:p>
            <w:pPr>
              <w:autoSpaceDE w:val="0"/>
              <w:autoSpaceDN w:val="0"/>
              <w:spacing w:line="400" w:lineRule="exact"/>
              <w:rPr>
                <w:rFonts w:hint="eastAsia" w:ascii="宋体" w:hAnsi="宋体"/>
                <w:kern w:val="0"/>
                <w:sz w:val="24"/>
                <w:lang w:val="zh-CN" w:bidi="zh-CN"/>
              </w:rPr>
            </w:pPr>
            <w:r>
              <w:rPr>
                <w:rFonts w:hint="eastAsia" w:ascii="宋体" w:hAnsi="宋体"/>
                <w:kern w:val="0"/>
                <w:sz w:val="24"/>
                <w:lang w:val="zh-CN" w:bidi="zh-CN"/>
              </w:rPr>
              <w:t>2</w:t>
            </w:r>
            <w:r>
              <w:rPr>
                <w:rFonts w:hint="eastAsia" w:ascii="宋体" w:hAnsi="宋体"/>
                <w:kern w:val="0"/>
                <w:sz w:val="24"/>
                <w:lang w:bidi="zh-CN"/>
              </w:rPr>
              <w:t>018</w:t>
            </w:r>
            <w:r>
              <w:rPr>
                <w:rFonts w:hint="eastAsia" w:ascii="宋体" w:hAnsi="宋体"/>
                <w:kern w:val="0"/>
                <w:sz w:val="24"/>
                <w:lang w:val="zh-CN" w:bidi="zh-CN"/>
              </w:rPr>
              <w:t>年6月毕业于中南财经政法大学，经济思想史专业，经济学博士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7" w:hRule="atLeast"/>
          <w:jc w:val="center"/>
        </w:trPr>
        <w:tc>
          <w:tcPr>
            <w:tcW w:w="2655" w:type="dxa"/>
            <w:gridSpan w:val="4"/>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主要研究方向</w:t>
            </w:r>
          </w:p>
        </w:tc>
        <w:tc>
          <w:tcPr>
            <w:tcW w:w="6921" w:type="dxa"/>
            <w:gridSpan w:val="8"/>
          </w:tcPr>
          <w:p>
            <w:pPr>
              <w:autoSpaceDE w:val="0"/>
              <w:autoSpaceDN w:val="0"/>
              <w:spacing w:line="400" w:lineRule="exact"/>
              <w:rPr>
                <w:rFonts w:hint="eastAsia" w:ascii="宋体" w:hAnsi="宋体"/>
                <w:kern w:val="0"/>
                <w:sz w:val="24"/>
                <w:lang w:val="zh-CN" w:bidi="zh-CN"/>
              </w:rPr>
            </w:pPr>
            <w:r>
              <w:rPr>
                <w:rFonts w:hint="eastAsia" w:ascii="宋体" w:hAnsi="宋体"/>
                <w:kern w:val="0"/>
                <w:sz w:val="24"/>
                <w:lang w:val="zh-CN" w:bidi="zh-CN"/>
              </w:rPr>
              <w:t>城市化与区域经济可持续发展、体育与城市发展协同、</w:t>
            </w:r>
            <w:r>
              <w:rPr>
                <w:rFonts w:hint="eastAsia" w:ascii="宋体" w:hAnsi="宋体"/>
                <w:kern w:val="0"/>
                <w:sz w:val="24"/>
                <w:lang w:bidi="zh-CN"/>
              </w:rPr>
              <w:t>数字</w:t>
            </w:r>
            <w:r>
              <w:rPr>
                <w:rFonts w:hint="eastAsia" w:ascii="宋体" w:hAnsi="宋体"/>
                <w:kern w:val="0"/>
                <w:sz w:val="24"/>
                <w:lang w:val="zh-CN" w:bidi="zh-CN"/>
              </w:rPr>
              <w:t>普惠金融创新与乡村振兴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20" w:hRule="atLeast"/>
          <w:jc w:val="center"/>
        </w:trPr>
        <w:tc>
          <w:tcPr>
            <w:tcW w:w="2655" w:type="dxa"/>
            <w:gridSpan w:val="4"/>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从事教育教学改革研究及获奖情况（含教改项目、研究论文、慕课、教材等）</w:t>
            </w:r>
          </w:p>
        </w:tc>
        <w:tc>
          <w:tcPr>
            <w:tcW w:w="6921" w:type="dxa"/>
            <w:gridSpan w:val="8"/>
          </w:tcPr>
          <w:p>
            <w:pPr>
              <w:autoSpaceDE w:val="0"/>
              <w:autoSpaceDN w:val="0"/>
              <w:spacing w:line="400" w:lineRule="exact"/>
              <w:rPr>
                <w:rFonts w:hint="eastAsia" w:ascii="宋体" w:hAnsi="宋体"/>
                <w:kern w:val="0"/>
                <w:sz w:val="24"/>
                <w:lang w:val="zh-CN" w:bidi="zh-CN"/>
              </w:rPr>
            </w:pPr>
            <w:r>
              <w:rPr>
                <w:rFonts w:hint="eastAsia" w:ascii="宋体" w:hAnsi="宋体"/>
                <w:kern w:val="0"/>
                <w:sz w:val="24"/>
                <w:lang w:val="zh-CN" w:bidi="zh-CN"/>
              </w:rPr>
              <w:t>主持广西高等教育本科教学改革工程项目2项。获广西高等教育自治区级教学成果一等奖2项、二等奖1项。长期承担本科生《当代中国经济》《社会主义市场经济学》《微观经济学》《经济学沙盘训练》《广西经济发展与改革专题》等课程教学任务，注重实践教学与理论教学的有机结合，在教学中积极融入区域经济发展案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jc w:val="center"/>
        </w:trPr>
        <w:tc>
          <w:tcPr>
            <w:tcW w:w="2655" w:type="dxa"/>
            <w:gridSpan w:val="4"/>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从事科学研究</w:t>
            </w:r>
          </w:p>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及获奖情况</w:t>
            </w:r>
          </w:p>
        </w:tc>
        <w:tc>
          <w:tcPr>
            <w:tcW w:w="6921" w:type="dxa"/>
            <w:gridSpan w:val="8"/>
          </w:tcPr>
          <w:p>
            <w:pPr>
              <w:autoSpaceDE w:val="0"/>
              <w:autoSpaceDN w:val="0"/>
              <w:spacing w:line="400" w:lineRule="exact"/>
              <w:rPr>
                <w:rFonts w:hint="eastAsia" w:ascii="宋体" w:hAnsi="宋体"/>
                <w:kern w:val="0"/>
                <w:sz w:val="24"/>
                <w:lang w:val="zh-CN" w:bidi="zh-CN"/>
              </w:rPr>
            </w:pPr>
            <w:r>
              <w:rPr>
                <w:rFonts w:hint="eastAsia" w:ascii="宋体" w:hAnsi="宋体"/>
                <w:kern w:val="0"/>
                <w:sz w:val="24"/>
                <w:lang w:val="zh-CN" w:bidi="zh-CN"/>
              </w:rPr>
              <w:t>主持国家社会科学基金项目2项、国家语言文字工作委员会科研规划项目1项、广西哲学社会科学规划课题3项、广西统计重点课题1项、广西教育科学规划民族教育研究专项课题1项。出版合著《珠江—西江经济带城市发展研究（2010—2015）（10卷本）》《珠江—西江经济带区域体育旅游发展研究：桂林案例》《滇桂石漠化片区民族特色小城镇文化保护与培育路径研究》等著作10部（套）。在《经济问题》《文化产业研究》《体育学刊》《西安体育学院学报》等中文核心期刊、CSSCI来源期刊/集刊、SCI源期刊发表学术论文20余篇，智库报告被市厅级以上党政部门采纳30余篇（被中央广播电视总台内参舆情中心、中央办公厅、农业农村部、教育部等省部级以上部门采纳9篇）。合作学术成果获民政部民政政策理论研究一等奖1项、广西社会科学优秀成果一等奖1项、二等奖1项、三等奖2项。入选“广西高等学校千名中青年骨干教师培育计划”“广西十百千知识产权（专利）中青年专家”。兼任中国区域经济学会珠江—西江经济带专业委员会委员、广西铸牢中华民族共同体意识研究会理事、广西区域国别研究工作秘书处特聘专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5" w:hRule="atLeast"/>
          <w:jc w:val="center"/>
        </w:trPr>
        <w:tc>
          <w:tcPr>
            <w:tcW w:w="2655" w:type="dxa"/>
            <w:gridSpan w:val="4"/>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近三年获得教学</w:t>
            </w:r>
          </w:p>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研究经费（万元）</w:t>
            </w:r>
          </w:p>
        </w:tc>
        <w:tc>
          <w:tcPr>
            <w:tcW w:w="2306" w:type="dxa"/>
            <w:gridSpan w:val="4"/>
            <w:vAlign w:val="center"/>
          </w:tcPr>
          <w:p>
            <w:pPr>
              <w:autoSpaceDE w:val="0"/>
              <w:autoSpaceDN w:val="0"/>
              <w:spacing w:line="400" w:lineRule="exact"/>
              <w:jc w:val="center"/>
              <w:rPr>
                <w:rFonts w:hint="eastAsia" w:ascii="宋体" w:hAnsi="宋体"/>
                <w:kern w:val="0"/>
                <w:sz w:val="24"/>
                <w:lang w:bidi="zh-CN"/>
              </w:rPr>
            </w:pPr>
            <w:r>
              <w:rPr>
                <w:rFonts w:hint="eastAsia" w:ascii="宋体" w:hAnsi="宋体"/>
                <w:kern w:val="0"/>
                <w:sz w:val="24"/>
                <w:lang w:bidi="zh-CN"/>
              </w:rPr>
              <w:t>2</w:t>
            </w:r>
          </w:p>
        </w:tc>
        <w:tc>
          <w:tcPr>
            <w:tcW w:w="2305" w:type="dxa"/>
            <w:gridSpan w:val="3"/>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近三年获得科学</w:t>
            </w:r>
          </w:p>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研究经费（万元）</w:t>
            </w:r>
          </w:p>
        </w:tc>
        <w:tc>
          <w:tcPr>
            <w:tcW w:w="2310" w:type="dxa"/>
            <w:vAlign w:val="center"/>
          </w:tcPr>
          <w:p>
            <w:pPr>
              <w:autoSpaceDE w:val="0"/>
              <w:autoSpaceDN w:val="0"/>
              <w:spacing w:line="400" w:lineRule="exact"/>
              <w:jc w:val="center"/>
              <w:rPr>
                <w:rFonts w:hint="eastAsia" w:ascii="宋体" w:hAnsi="宋体"/>
                <w:kern w:val="0"/>
                <w:sz w:val="24"/>
                <w:lang w:bidi="zh-CN"/>
              </w:rPr>
            </w:pPr>
            <w:r>
              <w:rPr>
                <w:rFonts w:hint="eastAsia" w:ascii="宋体" w:hAnsi="宋体"/>
                <w:kern w:val="0"/>
                <w:sz w:val="24"/>
                <w:lang w:bidi="zh-CN"/>
              </w:rPr>
              <w:t>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jc w:val="center"/>
        </w:trPr>
        <w:tc>
          <w:tcPr>
            <w:tcW w:w="2655" w:type="dxa"/>
            <w:gridSpan w:val="4"/>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近三年给本科生授课</w:t>
            </w:r>
          </w:p>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课程及学时数</w:t>
            </w:r>
          </w:p>
        </w:tc>
        <w:tc>
          <w:tcPr>
            <w:tcW w:w="2306" w:type="dxa"/>
            <w:gridSpan w:val="4"/>
            <w:vAlign w:val="center"/>
          </w:tcPr>
          <w:p>
            <w:pPr>
              <w:autoSpaceDE w:val="0"/>
              <w:autoSpaceDN w:val="0"/>
              <w:spacing w:line="400" w:lineRule="exact"/>
              <w:jc w:val="center"/>
              <w:rPr>
                <w:rFonts w:hint="eastAsia" w:ascii="宋体" w:hAnsi="宋体"/>
                <w:kern w:val="0"/>
                <w:sz w:val="24"/>
                <w:lang w:val="zh-CN" w:bidi="zh-CN"/>
              </w:rPr>
            </w:pPr>
            <w:r>
              <w:rPr>
                <w:rFonts w:hint="eastAsia" w:ascii="宋体" w:hAnsi="宋体"/>
                <w:kern w:val="0"/>
                <w:sz w:val="24"/>
                <w:lang w:val="zh-CN" w:bidi="zh-CN"/>
              </w:rPr>
              <w:t>当代中国经济（128学时）、经济学沙盘训练（50学时）、专业写作：应用与训练（45学时）、广西经济发展与改革专题（26学时）、专业写作：文献与阅读（12学时）、经济学专业导读课（12学时）</w:t>
            </w:r>
          </w:p>
        </w:tc>
        <w:tc>
          <w:tcPr>
            <w:tcW w:w="2305" w:type="dxa"/>
            <w:gridSpan w:val="3"/>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近三年指导本科</w:t>
            </w:r>
          </w:p>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毕业设计（人次）</w:t>
            </w:r>
          </w:p>
        </w:tc>
        <w:tc>
          <w:tcPr>
            <w:tcW w:w="2310" w:type="dxa"/>
            <w:vAlign w:val="center"/>
          </w:tcPr>
          <w:p>
            <w:pPr>
              <w:autoSpaceDE w:val="0"/>
              <w:autoSpaceDN w:val="0"/>
              <w:spacing w:line="400" w:lineRule="exact"/>
              <w:jc w:val="center"/>
              <w:rPr>
                <w:rFonts w:hint="eastAsia" w:ascii="宋体" w:hAnsi="宋体"/>
                <w:kern w:val="0"/>
                <w:sz w:val="24"/>
                <w:lang w:bidi="zh-CN"/>
              </w:rPr>
            </w:pPr>
            <w:r>
              <w:rPr>
                <w:rFonts w:hint="eastAsia" w:ascii="宋体" w:hAnsi="宋体"/>
                <w:kern w:val="0"/>
                <w:sz w:val="24"/>
                <w:lang w:bidi="zh-CN"/>
              </w:rPr>
              <w:t>19</w:t>
            </w:r>
          </w:p>
        </w:tc>
      </w:tr>
    </w:tbl>
    <w:p>
      <w:pPr>
        <w:autoSpaceDE w:val="0"/>
        <w:autoSpaceDN w:val="0"/>
        <w:spacing w:line="400" w:lineRule="exact"/>
        <w:ind w:left="458"/>
        <w:jc w:val="left"/>
        <w:rPr>
          <w:rFonts w:hint="eastAsia" w:ascii="宋体" w:hAnsi="宋体"/>
          <w:color w:val="000000" w:themeColor="text1"/>
          <w:kern w:val="0"/>
          <w:sz w:val="24"/>
          <w:lang w:val="zh-CN" w:bidi="zh-CN"/>
          <w14:textFill>
            <w14:solidFill>
              <w14:schemeClr w14:val="tx1"/>
            </w14:solidFill>
          </w14:textFill>
        </w:rPr>
      </w:pPr>
      <w:r>
        <w:rPr>
          <w:rFonts w:ascii="宋体" w:hAnsi="宋体"/>
          <w:color w:val="000000" w:themeColor="text1"/>
          <w:kern w:val="0"/>
          <w:sz w:val="24"/>
          <w:lang w:val="zh-CN" w:bidi="zh-CN"/>
          <w14:textFill>
            <w14:solidFill>
              <w14:schemeClr w14:val="tx1"/>
            </w14:solidFill>
          </w14:textFill>
        </w:rPr>
        <w:t>注：</w:t>
      </w:r>
      <w:r>
        <w:rPr>
          <w:rFonts w:hint="eastAsia" w:ascii="宋体" w:hAnsi="宋体"/>
          <w:color w:val="000000" w:themeColor="text1"/>
          <w:kern w:val="0"/>
          <w:sz w:val="24"/>
          <w:lang w:bidi="zh-CN"/>
          <w14:textFill>
            <w14:solidFill>
              <w14:schemeClr w14:val="tx1"/>
            </w14:solidFill>
          </w14:textFill>
        </w:rPr>
        <w:t>允许</w:t>
      </w:r>
      <w:r>
        <w:rPr>
          <w:rFonts w:ascii="宋体" w:hAnsi="宋体"/>
          <w:color w:val="000000" w:themeColor="text1"/>
          <w:spacing w:val="-1"/>
          <w:kern w:val="0"/>
          <w:sz w:val="24"/>
          <w:lang w:val="zh-CN" w:bidi="zh-CN"/>
          <w14:textFill>
            <w14:solidFill>
              <w14:schemeClr w14:val="tx1"/>
            </w14:solidFill>
          </w14:textFill>
        </w:rPr>
        <w:t>填写</w:t>
      </w:r>
      <w:r>
        <w:rPr>
          <w:rFonts w:hint="eastAsia" w:ascii="宋体" w:hAnsi="宋体"/>
          <w:color w:val="000000" w:themeColor="text1"/>
          <w:spacing w:val="-1"/>
          <w:kern w:val="0"/>
          <w:sz w:val="24"/>
          <w:lang w:bidi="zh-CN"/>
          <w14:textFill>
            <w14:solidFill>
              <w14:schemeClr w14:val="tx1"/>
            </w14:solidFill>
          </w14:textFill>
        </w:rPr>
        <w:t>3—5</w:t>
      </w:r>
      <w:r>
        <w:rPr>
          <w:rFonts w:ascii="宋体" w:hAnsi="宋体"/>
          <w:color w:val="000000" w:themeColor="text1"/>
          <w:spacing w:val="-1"/>
          <w:kern w:val="0"/>
          <w:sz w:val="24"/>
          <w:lang w:val="zh-CN" w:bidi="zh-CN"/>
          <w14:textFill>
            <w14:solidFill>
              <w14:schemeClr w14:val="tx1"/>
            </w14:solidFill>
          </w14:textFill>
        </w:rPr>
        <w:t>人，只填本专业专任教师，每人一表。</w:t>
      </w:r>
    </w:p>
    <w:p>
      <w:pPr>
        <w:autoSpaceDE w:val="0"/>
        <w:autoSpaceDN w:val="0"/>
        <w:spacing w:line="362" w:lineRule="exact"/>
        <w:jc w:val="left"/>
        <w:rPr>
          <w:color w:val="000000" w:themeColor="text1"/>
          <w:kern w:val="0"/>
          <w:sz w:val="24"/>
          <w:szCs w:val="22"/>
          <w:lang w:val="zh-CN" w:bidi="zh-CN"/>
          <w14:textFill>
            <w14:solidFill>
              <w14:schemeClr w14:val="tx1"/>
            </w14:solidFill>
          </w14:textFill>
        </w:rPr>
        <w:sectPr>
          <w:headerReference r:id="rId11" w:type="default"/>
          <w:footnotePr>
            <w:numFmt w:val="decimalEnclosedCircleChinese"/>
            <w:numRestart w:val="eachPage"/>
          </w:footnotePr>
          <w:pgSz w:w="11906" w:h="16838"/>
          <w:pgMar w:top="2098" w:right="1474" w:bottom="1984" w:left="1588" w:header="851" w:footer="1559" w:gutter="0"/>
          <w:cols w:space="720" w:num="1"/>
          <w:docGrid w:linePitch="1" w:charSpace="0"/>
        </w:sectPr>
      </w:pPr>
    </w:p>
    <w:p>
      <w:pPr>
        <w:autoSpaceDE w:val="0"/>
        <w:autoSpaceDN w:val="0"/>
        <w:spacing w:line="400" w:lineRule="exact"/>
        <w:ind w:left="20"/>
        <w:jc w:val="center"/>
        <w:rPr>
          <w:rFonts w:hint="eastAsia" w:ascii="黑体" w:hAnsi="黑体" w:eastAsia="黑体" w:cs="黑体"/>
          <w:kern w:val="0"/>
          <w:sz w:val="32"/>
          <w:szCs w:val="32"/>
          <w:lang w:val="zh-CN" w:bidi="zh-CN"/>
        </w:rPr>
      </w:pPr>
      <w:r>
        <w:rPr>
          <w:rFonts w:hint="eastAsia" w:ascii="Times New Roman" w:hAnsi="Times New Roman" w:eastAsia="黑体" w:cs="黑体"/>
          <w:kern w:val="0"/>
          <w:sz w:val="32"/>
          <w:szCs w:val="32"/>
          <w:lang w:bidi="zh-CN"/>
        </w:rPr>
        <w:t>7</w:t>
      </w:r>
      <w:r>
        <w:rPr>
          <w:rFonts w:ascii="黑体" w:hAnsi="黑体" w:eastAsia="黑体" w:cs="黑体"/>
          <w:kern w:val="0"/>
          <w:sz w:val="32"/>
          <w:szCs w:val="32"/>
          <w:lang w:val="zh-CN" w:bidi="zh-CN"/>
        </w:rPr>
        <w:t>.教学条件情况表</w:t>
      </w:r>
    </w:p>
    <w:tbl>
      <w:tblPr>
        <w:tblStyle w:val="40"/>
        <w:tblW w:w="913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82"/>
        <w:gridCol w:w="1803"/>
        <w:gridCol w:w="2904"/>
        <w:gridCol w:w="14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982" w:type="dxa"/>
            <w:tcBorders>
              <w:right w:val="single" w:color="000000" w:sz="6" w:space="0"/>
            </w:tcBorders>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可用于该专业的教学</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实验设备总价值（万元）</w:t>
            </w:r>
          </w:p>
        </w:tc>
        <w:tc>
          <w:tcPr>
            <w:tcW w:w="1803" w:type="dxa"/>
            <w:tcBorders>
              <w:left w:val="single" w:color="000000" w:sz="6" w:space="0"/>
            </w:tcBorders>
            <w:vAlign w:val="center"/>
          </w:tcPr>
          <w:p>
            <w:pPr>
              <w:widowControl/>
              <w:jc w:val="center"/>
              <w:rPr>
                <w:rFonts w:ascii="Times New Roman" w:hAnsi="Times New Roman"/>
                <w:kern w:val="0"/>
                <w:sz w:val="24"/>
                <w:lang w:val="zh-CN" w:bidi="zh-CN"/>
              </w:rPr>
            </w:pPr>
            <w:r>
              <w:rPr>
                <w:rFonts w:ascii="Times New Roman" w:hAnsi="Times New Roman" w:eastAsia="等线"/>
                <w:color w:val="000000"/>
                <w:sz w:val="22"/>
                <w:szCs w:val="22"/>
              </w:rPr>
              <w:t>1975.93</w:t>
            </w:r>
          </w:p>
        </w:tc>
        <w:tc>
          <w:tcPr>
            <w:tcW w:w="2904" w:type="dxa"/>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可用于该专业的教学</w:t>
            </w:r>
          </w:p>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实验设备数量（千元以上）</w:t>
            </w:r>
          </w:p>
        </w:tc>
        <w:tc>
          <w:tcPr>
            <w:tcW w:w="1447" w:type="dxa"/>
            <w:vAlign w:val="center"/>
          </w:tcPr>
          <w:p>
            <w:pPr>
              <w:widowControl/>
              <w:jc w:val="center"/>
              <w:rPr>
                <w:rFonts w:ascii="Times New Roman" w:hAnsi="Times New Roman"/>
                <w:kern w:val="0"/>
                <w:sz w:val="24"/>
                <w:lang w:val="zh-CN" w:bidi="zh-CN"/>
              </w:rPr>
            </w:pPr>
            <w:r>
              <w:rPr>
                <w:rFonts w:ascii="Times New Roman" w:hAnsi="Times New Roman" w:eastAsia="等线"/>
                <w:color w:val="000000"/>
                <w:sz w:val="22"/>
                <w:szCs w:val="22"/>
              </w:rPr>
              <w:t>576（台/件）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2982" w:type="dxa"/>
            <w:tcBorders>
              <w:right w:val="single" w:color="000000" w:sz="6" w:space="0"/>
            </w:tcBorders>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开办经费及来源</w:t>
            </w:r>
          </w:p>
        </w:tc>
        <w:tc>
          <w:tcPr>
            <w:tcW w:w="6154" w:type="dxa"/>
            <w:gridSpan w:val="3"/>
            <w:tcBorders>
              <w:left w:val="single" w:color="000000" w:sz="6" w:space="0"/>
            </w:tcBorders>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财政拨款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982" w:type="dxa"/>
            <w:tcBorders>
              <w:right w:val="single" w:color="000000" w:sz="6" w:space="0"/>
            </w:tcBorders>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生均年教学日常支出（元）</w:t>
            </w:r>
          </w:p>
        </w:tc>
        <w:tc>
          <w:tcPr>
            <w:tcW w:w="6154" w:type="dxa"/>
            <w:gridSpan w:val="3"/>
            <w:tcBorders>
              <w:left w:val="single" w:color="000000" w:sz="6" w:space="0"/>
            </w:tcBorders>
            <w:vAlign w:val="center"/>
          </w:tcPr>
          <w:p>
            <w:pPr>
              <w:autoSpaceDE w:val="0"/>
              <w:autoSpaceDN w:val="0"/>
              <w:spacing w:line="400" w:lineRule="exact"/>
              <w:jc w:val="center"/>
              <w:rPr>
                <w:rFonts w:ascii="Times New Roman" w:hAnsi="Times New Roman"/>
                <w:kern w:val="0"/>
                <w:sz w:val="24"/>
                <w:lang w:bidi="zh-CN"/>
              </w:rPr>
            </w:pPr>
            <w:r>
              <w:rPr>
                <w:rFonts w:ascii="Times New Roman" w:hAnsi="Times New Roman"/>
                <w:kern w:val="0"/>
                <w:sz w:val="24"/>
                <w:lang w:bidi="zh-CN"/>
              </w:rPr>
              <w:t>3000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982" w:type="dxa"/>
            <w:tcBorders>
              <w:right w:val="single" w:color="000000" w:sz="6" w:space="0"/>
            </w:tcBorders>
            <w:vAlign w:val="center"/>
          </w:tcPr>
          <w:p>
            <w:pPr>
              <w:autoSpaceDE w:val="0"/>
              <w:autoSpaceDN w:val="0"/>
              <w:spacing w:line="400" w:lineRule="exact"/>
              <w:jc w:val="center"/>
              <w:rPr>
                <w:rFonts w:ascii="Times New Roman" w:hAnsi="Times New Roman"/>
                <w:kern w:val="0"/>
                <w:sz w:val="24"/>
                <w:lang w:val="zh-CN" w:bidi="zh-CN"/>
              </w:rPr>
            </w:pPr>
            <w:r>
              <w:rPr>
                <w:rFonts w:ascii="Times New Roman" w:hAnsi="Times New Roman"/>
                <w:kern w:val="0"/>
                <w:sz w:val="24"/>
                <w:lang w:val="zh-CN" w:bidi="zh-CN"/>
              </w:rPr>
              <w:t>实践教学基地（个）</w:t>
            </w:r>
          </w:p>
        </w:tc>
        <w:tc>
          <w:tcPr>
            <w:tcW w:w="6154" w:type="dxa"/>
            <w:gridSpan w:val="3"/>
            <w:tcBorders>
              <w:left w:val="single" w:color="000000" w:sz="6" w:space="0"/>
            </w:tcBorders>
            <w:vAlign w:val="center"/>
          </w:tcPr>
          <w:p>
            <w:pPr>
              <w:widowControl/>
              <w:jc w:val="center"/>
              <w:rPr>
                <w:rFonts w:ascii="Times New Roman" w:hAnsi="Times New Roman"/>
                <w:kern w:val="0"/>
                <w:sz w:val="24"/>
                <w:lang w:val="zh-CN" w:bidi="zh-CN"/>
              </w:rPr>
            </w:pPr>
            <w:r>
              <w:rPr>
                <w:rFonts w:ascii="Times New Roman" w:hAnsi="Times New Roman" w:eastAsia="等线"/>
                <w:color w:val="000000"/>
                <w:sz w:val="22"/>
                <w:szCs w:val="22"/>
              </w:rPr>
              <w:t>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2982" w:type="dxa"/>
            <w:tcBorders>
              <w:right w:val="single" w:color="000000" w:sz="6" w:space="0"/>
            </w:tcBorders>
            <w:vAlign w:val="center"/>
          </w:tcPr>
          <w:p>
            <w:pPr>
              <w:autoSpaceDE w:val="0"/>
              <w:autoSpaceDN w:val="0"/>
              <w:spacing w:line="400" w:lineRule="exact"/>
              <w:jc w:val="center"/>
              <w:rPr>
                <w:rFonts w:hint="eastAsia" w:ascii="宋体" w:hAnsi="宋体"/>
                <w:kern w:val="0"/>
                <w:sz w:val="24"/>
                <w:lang w:val="zh-CN" w:bidi="zh-CN"/>
              </w:rPr>
            </w:pPr>
            <w:r>
              <w:rPr>
                <w:rFonts w:ascii="宋体" w:hAnsi="宋体"/>
                <w:kern w:val="0"/>
                <w:sz w:val="24"/>
                <w:lang w:val="zh-CN" w:bidi="zh-CN"/>
              </w:rPr>
              <w:t>教学条件建设规划</w:t>
            </w:r>
          </w:p>
          <w:p>
            <w:pPr>
              <w:autoSpaceDE w:val="0"/>
              <w:autoSpaceDN w:val="0"/>
              <w:spacing w:before="4" w:line="400" w:lineRule="exact"/>
              <w:ind w:left="109" w:right="98"/>
              <w:jc w:val="center"/>
              <w:rPr>
                <w:rFonts w:hint="eastAsia" w:ascii="宋体" w:hAnsi="宋体"/>
                <w:kern w:val="0"/>
                <w:sz w:val="24"/>
                <w:lang w:val="zh-CN" w:bidi="zh-CN"/>
              </w:rPr>
            </w:pPr>
            <w:r>
              <w:rPr>
                <w:rFonts w:ascii="宋体" w:hAnsi="宋体"/>
                <w:kern w:val="0"/>
                <w:sz w:val="24"/>
                <w:lang w:val="zh-CN" w:bidi="zh-CN"/>
              </w:rPr>
              <w:t>及保障措施</w:t>
            </w:r>
          </w:p>
        </w:tc>
        <w:tc>
          <w:tcPr>
            <w:tcW w:w="6154" w:type="dxa"/>
            <w:gridSpan w:val="3"/>
            <w:tcBorders>
              <w:left w:val="single" w:color="000000" w:sz="6" w:space="0"/>
            </w:tcBorders>
            <w:vAlign w:val="center"/>
          </w:tcPr>
          <w:p>
            <w:pPr>
              <w:autoSpaceDE w:val="0"/>
              <w:autoSpaceDN w:val="0"/>
              <w:spacing w:line="400" w:lineRule="exact"/>
              <w:jc w:val="left"/>
              <w:rPr>
                <w:rFonts w:hint="eastAsia" w:ascii="宋体" w:hAnsi="宋体"/>
                <w:b/>
                <w:bCs/>
                <w:kern w:val="0"/>
                <w:sz w:val="24"/>
                <w:lang w:bidi="zh-CN"/>
              </w:rPr>
            </w:pPr>
            <w:r>
              <w:rPr>
                <w:rFonts w:ascii="宋体" w:hAnsi="宋体"/>
                <w:b/>
                <w:bCs/>
                <w:kern w:val="0"/>
                <w:sz w:val="24"/>
                <w:lang w:bidi="zh-CN"/>
              </w:rPr>
              <w:t>一、教学条件建设规划</w:t>
            </w:r>
          </w:p>
          <w:p>
            <w:pPr>
              <w:autoSpaceDE w:val="0"/>
              <w:autoSpaceDN w:val="0"/>
              <w:spacing w:line="400" w:lineRule="exact"/>
              <w:jc w:val="left"/>
              <w:rPr>
                <w:rFonts w:hint="eastAsia" w:ascii="宋体" w:hAnsi="宋体"/>
                <w:kern w:val="0"/>
                <w:sz w:val="24"/>
                <w:lang w:val="zh-CN" w:bidi="zh-CN"/>
              </w:rPr>
            </w:pPr>
            <w:r>
              <w:rPr>
                <w:rFonts w:hint="eastAsia" w:ascii="宋体" w:hAnsi="宋体"/>
                <w:b/>
                <w:bCs/>
                <w:kern w:val="0"/>
                <w:sz w:val="24"/>
                <w:lang w:val="zh-CN" w:bidi="zh-CN"/>
              </w:rPr>
              <w:t>1.</w:t>
            </w:r>
            <w:r>
              <w:rPr>
                <w:rFonts w:ascii="宋体" w:hAnsi="宋体"/>
                <w:b/>
                <w:bCs/>
                <w:kern w:val="0"/>
                <w:sz w:val="24"/>
                <w:lang w:val="zh-CN" w:bidi="zh-CN"/>
              </w:rPr>
              <w:t>实验室建设</w:t>
            </w:r>
            <w:r>
              <w:rPr>
                <w:rFonts w:ascii="宋体" w:hAnsi="宋体"/>
                <w:kern w:val="0"/>
                <w:sz w:val="24"/>
                <w:lang w:val="zh-CN" w:bidi="zh-CN"/>
              </w:rPr>
              <w:t>：建设“</w:t>
            </w:r>
            <w:r>
              <w:rPr>
                <w:rFonts w:hint="eastAsia" w:ascii="宋体" w:hAnsi="宋体"/>
                <w:kern w:val="0"/>
                <w:sz w:val="24"/>
                <w:lang w:val="zh-CN" w:bidi="zh-CN"/>
              </w:rPr>
              <w:t>广西高校</w:t>
            </w:r>
            <w:r>
              <w:rPr>
                <w:rFonts w:ascii="宋体" w:hAnsi="宋体"/>
                <w:kern w:val="0"/>
                <w:sz w:val="24"/>
                <w:lang w:val="zh-CN" w:bidi="zh-CN"/>
              </w:rPr>
              <w:t>数字</w:t>
            </w:r>
            <w:r>
              <w:rPr>
                <w:rFonts w:hint="eastAsia" w:ascii="宋体" w:hAnsi="宋体"/>
                <w:kern w:val="0"/>
                <w:sz w:val="24"/>
                <w:lang w:val="zh-CN" w:bidi="zh-CN"/>
              </w:rPr>
              <w:t>赋能经济发展重点</w:t>
            </w:r>
            <w:r>
              <w:rPr>
                <w:rFonts w:ascii="宋体" w:hAnsi="宋体"/>
                <w:kern w:val="0"/>
                <w:sz w:val="24"/>
                <w:lang w:val="zh-CN" w:bidi="zh-CN"/>
              </w:rPr>
              <w:t>实验室”，</w:t>
            </w:r>
            <w:r>
              <w:rPr>
                <w:rFonts w:hint="eastAsia" w:ascii="宋体" w:hAnsi="宋体"/>
                <w:kern w:val="0"/>
                <w:sz w:val="24"/>
                <w:lang w:val="zh-CN" w:bidi="zh-CN"/>
              </w:rPr>
              <w:t>实验室</w:t>
            </w:r>
            <w:r>
              <w:rPr>
                <w:rFonts w:ascii="宋体" w:hAnsi="宋体"/>
                <w:kern w:val="0"/>
                <w:sz w:val="24"/>
                <w:lang w:val="zh-CN" w:bidi="zh-CN"/>
              </w:rPr>
              <w:t>覆盖数据采集与处理、计量经济分析、区块链应用、数字贸易模拟等核心实验需求。重点配备高性能计算服务器、大数据分析平台、数字沙盘、虚拟仿真教学系统等软硬件设施。</w:t>
            </w:r>
          </w:p>
          <w:p>
            <w:pPr>
              <w:autoSpaceDE w:val="0"/>
              <w:autoSpaceDN w:val="0"/>
              <w:spacing w:line="400" w:lineRule="exact"/>
              <w:jc w:val="left"/>
              <w:rPr>
                <w:rFonts w:hint="eastAsia" w:ascii="宋体" w:hAnsi="宋体"/>
                <w:kern w:val="0"/>
                <w:sz w:val="24"/>
                <w:lang w:val="zh-CN" w:bidi="zh-CN"/>
              </w:rPr>
            </w:pPr>
            <w:r>
              <w:rPr>
                <w:rFonts w:hint="eastAsia" w:ascii="宋体" w:hAnsi="宋体"/>
                <w:b/>
                <w:bCs/>
                <w:kern w:val="0"/>
                <w:sz w:val="24"/>
                <w:lang w:val="zh-CN" w:bidi="zh-CN"/>
              </w:rPr>
              <w:t>2.</w:t>
            </w:r>
            <w:r>
              <w:rPr>
                <w:rFonts w:ascii="宋体" w:hAnsi="宋体"/>
                <w:b/>
                <w:bCs/>
                <w:kern w:val="0"/>
                <w:sz w:val="24"/>
                <w:lang w:val="zh-CN" w:bidi="zh-CN"/>
              </w:rPr>
              <w:t>实习基地建设：</w:t>
            </w:r>
            <w:r>
              <w:rPr>
                <w:rFonts w:ascii="宋体" w:hAnsi="宋体"/>
                <w:kern w:val="0"/>
                <w:sz w:val="24"/>
                <w:lang w:val="zh-CN" w:bidi="zh-CN"/>
              </w:rPr>
              <w:t>与地方政府（如大数据发展局）、数字企业、电商平台等建立长期、稳定的校外实习基地。鼓励跨校、跨区域共享实习资源，为学生提供数字产业化、产业数字化、数据治理、数字金融等领域的实践机会。</w:t>
            </w:r>
          </w:p>
          <w:p>
            <w:pPr>
              <w:autoSpaceDE w:val="0"/>
              <w:autoSpaceDN w:val="0"/>
              <w:spacing w:line="400" w:lineRule="exact"/>
              <w:jc w:val="left"/>
              <w:rPr>
                <w:rFonts w:hint="eastAsia" w:ascii="宋体" w:hAnsi="宋体"/>
                <w:kern w:val="0"/>
                <w:sz w:val="24"/>
                <w:lang w:val="zh-CN" w:bidi="zh-CN"/>
              </w:rPr>
            </w:pPr>
            <w:r>
              <w:rPr>
                <w:rFonts w:hint="eastAsia" w:ascii="宋体" w:hAnsi="宋体"/>
                <w:b/>
                <w:bCs/>
                <w:kern w:val="0"/>
                <w:sz w:val="24"/>
                <w:lang w:val="zh-CN" w:bidi="zh-CN"/>
              </w:rPr>
              <w:t>3.</w:t>
            </w:r>
            <w:r>
              <w:rPr>
                <w:rFonts w:ascii="宋体" w:hAnsi="宋体"/>
                <w:b/>
                <w:bCs/>
                <w:kern w:val="0"/>
                <w:sz w:val="24"/>
                <w:lang w:val="zh-CN" w:bidi="zh-CN"/>
              </w:rPr>
              <w:t>实践教学体系</w:t>
            </w:r>
            <w:r>
              <w:rPr>
                <w:rFonts w:ascii="宋体" w:hAnsi="宋体"/>
                <w:kern w:val="0"/>
                <w:sz w:val="24"/>
                <w:lang w:val="zh-CN" w:bidi="zh-CN"/>
              </w:rPr>
              <w:t>：确保实验实践教学环节学分占比不低于总学分的</w:t>
            </w:r>
            <w:r>
              <w:rPr>
                <w:rFonts w:hint="eastAsia" w:ascii="宋体" w:hAnsi="宋体"/>
                <w:kern w:val="0"/>
                <w:sz w:val="24"/>
                <w:lang w:val="zh-CN" w:bidi="zh-CN"/>
              </w:rPr>
              <w:t>1</w:t>
            </w:r>
            <w:r>
              <w:rPr>
                <w:rFonts w:ascii="宋体" w:hAnsi="宋体"/>
                <w:kern w:val="0"/>
                <w:sz w:val="24"/>
                <w:lang w:val="zh-CN" w:bidi="zh-CN"/>
              </w:rPr>
              <w:t>%</w:t>
            </w:r>
            <w:r>
              <w:rPr>
                <w:rFonts w:hint="eastAsia" w:ascii="宋体" w:hAnsi="宋体"/>
                <w:kern w:val="0"/>
                <w:sz w:val="24"/>
                <w:lang w:val="zh-CN" w:bidi="zh-CN"/>
              </w:rPr>
              <w:t>。</w:t>
            </w:r>
            <w:r>
              <w:rPr>
                <w:rFonts w:ascii="宋体" w:hAnsi="宋体"/>
                <w:kern w:val="0"/>
                <w:sz w:val="24"/>
                <w:lang w:val="zh-CN" w:bidi="zh-CN"/>
              </w:rPr>
              <w:t>组织参与“互联网+</w:t>
            </w:r>
            <w:r>
              <w:rPr>
                <w:rFonts w:hint="eastAsia" w:ascii="宋体" w:hAnsi="宋体"/>
                <w:kern w:val="0"/>
                <w:sz w:val="24"/>
                <w:lang w:val="zh-CN" w:bidi="zh-CN"/>
              </w:rPr>
              <w:t>”“</w:t>
            </w:r>
            <w:r>
              <w:rPr>
                <w:rFonts w:ascii="宋体" w:hAnsi="宋体"/>
                <w:kern w:val="0"/>
                <w:sz w:val="24"/>
                <w:lang w:val="zh-CN" w:bidi="zh-CN"/>
              </w:rPr>
              <w:t>挑战杯</w:t>
            </w:r>
            <w:r>
              <w:rPr>
                <w:rFonts w:hint="eastAsia" w:ascii="宋体" w:hAnsi="宋体"/>
                <w:kern w:val="0"/>
                <w:sz w:val="24"/>
                <w:lang w:val="zh-CN" w:bidi="zh-CN"/>
              </w:rPr>
              <w:t>”“</w:t>
            </w:r>
            <w:r>
              <w:rPr>
                <w:rFonts w:ascii="宋体" w:hAnsi="宋体"/>
                <w:kern w:val="0"/>
                <w:sz w:val="24"/>
                <w:lang w:val="zh-CN" w:bidi="zh-CN"/>
              </w:rPr>
              <w:t>全国大学生数字建模大赛”等学科竞赛，系统强化学生的数据思维、商业洞察与解决实际问题的能力。</w:t>
            </w:r>
          </w:p>
          <w:p>
            <w:pPr>
              <w:autoSpaceDE w:val="0"/>
              <w:autoSpaceDN w:val="0"/>
              <w:spacing w:line="400" w:lineRule="exact"/>
              <w:jc w:val="left"/>
              <w:rPr>
                <w:rFonts w:hint="eastAsia" w:ascii="宋体" w:hAnsi="宋体"/>
                <w:b/>
                <w:bCs/>
                <w:kern w:val="0"/>
                <w:sz w:val="24"/>
                <w:lang w:bidi="zh-CN"/>
              </w:rPr>
            </w:pPr>
            <w:r>
              <w:rPr>
                <w:rFonts w:hint="eastAsia" w:ascii="宋体" w:hAnsi="宋体"/>
                <w:b/>
                <w:bCs/>
                <w:kern w:val="0"/>
                <w:sz w:val="24"/>
                <w:lang w:bidi="zh-CN"/>
              </w:rPr>
              <w:t>二、保障措施</w:t>
            </w:r>
          </w:p>
          <w:p>
            <w:pPr>
              <w:autoSpaceDE w:val="0"/>
              <w:autoSpaceDN w:val="0"/>
              <w:spacing w:line="400" w:lineRule="exact"/>
              <w:jc w:val="left"/>
              <w:rPr>
                <w:rFonts w:hint="eastAsia" w:ascii="宋体" w:hAnsi="宋体"/>
                <w:kern w:val="0"/>
                <w:sz w:val="24"/>
                <w:lang w:val="zh-CN" w:bidi="zh-CN"/>
              </w:rPr>
            </w:pPr>
            <w:r>
              <w:rPr>
                <w:rFonts w:hint="eastAsia" w:ascii="宋体" w:hAnsi="宋体"/>
                <w:b/>
                <w:bCs/>
                <w:kern w:val="0"/>
                <w:sz w:val="24"/>
                <w:lang w:val="zh-CN" w:bidi="zh-CN"/>
              </w:rPr>
              <w:t>1.管理与质量保障：</w:t>
            </w:r>
            <w:r>
              <w:rPr>
                <w:rFonts w:hint="eastAsia" w:ascii="宋体" w:hAnsi="宋体"/>
                <w:kern w:val="0"/>
                <w:sz w:val="24"/>
                <w:lang w:val="zh-CN" w:bidi="zh-CN"/>
              </w:rPr>
              <w:t>建立健全覆盖教学计划、教学过程、考试考核、实习实训、毕业论文等全环节的教学管理规章制度。成立学院教学督导组，定期开展教学检查、听课评教、学生座谈，确保教学过程规范化，持续提升教学质量。</w:t>
            </w:r>
          </w:p>
          <w:p>
            <w:pPr>
              <w:autoSpaceDE w:val="0"/>
              <w:autoSpaceDN w:val="0"/>
              <w:spacing w:line="400" w:lineRule="exact"/>
              <w:jc w:val="left"/>
              <w:rPr>
                <w:rFonts w:hint="eastAsia" w:ascii="宋体" w:hAnsi="宋体"/>
                <w:kern w:val="0"/>
                <w:sz w:val="24"/>
                <w:lang w:val="zh-CN" w:bidi="zh-CN"/>
              </w:rPr>
            </w:pPr>
            <w:r>
              <w:rPr>
                <w:rFonts w:hint="eastAsia" w:ascii="宋体" w:hAnsi="宋体"/>
                <w:kern w:val="0"/>
                <w:sz w:val="24"/>
                <w:lang w:val="zh-CN" w:bidi="zh-CN"/>
              </w:rPr>
              <w:t>2.投入保障：确保学校及学院对数字经济专业的专项经费投入，重点用于实验室建设与维护、实习基地拓展、软件资源购买、师资培训及日常教学运行。</w:t>
            </w:r>
          </w:p>
          <w:p>
            <w:pPr>
              <w:autoSpaceDE w:val="0"/>
              <w:autoSpaceDN w:val="0"/>
              <w:spacing w:line="400" w:lineRule="exact"/>
              <w:jc w:val="left"/>
              <w:rPr>
                <w:rFonts w:hint="eastAsia" w:ascii="宋体" w:hAnsi="宋体"/>
                <w:kern w:val="0"/>
                <w:sz w:val="24"/>
                <w:lang w:val="zh-CN" w:bidi="zh-CN"/>
              </w:rPr>
            </w:pPr>
            <w:r>
              <w:rPr>
                <w:rFonts w:hint="eastAsia" w:ascii="宋体" w:hAnsi="宋体"/>
                <w:kern w:val="0"/>
                <w:sz w:val="24"/>
                <w:lang w:val="zh-CN" w:bidi="zh-CN"/>
              </w:rPr>
              <w:t>3.建立毕业生跟踪反馈与社会评价机制。每年开展毕业生就业质量调查、用人单位满意度调研，定期邀请行业专家、校友参与培养方案修订。</w:t>
            </w:r>
          </w:p>
        </w:tc>
      </w:tr>
    </w:tbl>
    <w:p>
      <w:pPr>
        <w:autoSpaceDE w:val="0"/>
        <w:autoSpaceDN w:val="0"/>
        <w:spacing w:before="3" w:line="400" w:lineRule="exact"/>
        <w:jc w:val="left"/>
        <w:rPr>
          <w:rFonts w:hint="eastAsia" w:ascii="宋体" w:hAnsi="宋体"/>
          <w:kern w:val="0"/>
          <w:sz w:val="24"/>
          <w:lang w:val="zh-CN" w:bidi="zh-CN"/>
        </w:rPr>
      </w:pPr>
    </w:p>
    <w:p>
      <w:pPr>
        <w:autoSpaceDE w:val="0"/>
        <w:autoSpaceDN w:val="0"/>
        <w:spacing w:after="54" w:line="400" w:lineRule="exact"/>
        <w:ind w:left="911" w:right="1167"/>
        <w:jc w:val="center"/>
        <w:rPr>
          <w:rFonts w:hint="eastAsia" w:ascii="宋体" w:hAnsi="宋体"/>
          <w:kern w:val="0"/>
          <w:sz w:val="24"/>
          <w:lang w:val="zh-CN" w:bidi="zh-CN"/>
        </w:rPr>
      </w:pPr>
      <w:r>
        <w:rPr>
          <w:rFonts w:ascii="宋体" w:hAnsi="宋体"/>
          <w:kern w:val="0"/>
          <w:sz w:val="24"/>
          <w:lang w:val="zh-CN" w:bidi="zh-CN"/>
        </w:rPr>
        <w:t>主要教学实验设备情况表</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9"/>
        <w:gridCol w:w="1701"/>
        <w:gridCol w:w="1276"/>
        <w:gridCol w:w="1558"/>
        <w:gridCol w:w="20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spacing w:line="300" w:lineRule="exact"/>
              <w:jc w:val="center"/>
              <w:rPr>
                <w:rFonts w:ascii="Times New Roman" w:hAnsi="Times New Roman" w:eastAsia="黑体"/>
                <w:bCs/>
                <w:caps/>
                <w:color w:val="000000" w:themeColor="text1"/>
                <w:sz w:val="24"/>
                <w14:textFill>
                  <w14:solidFill>
                    <w14:schemeClr w14:val="tx1"/>
                  </w14:solidFill>
                </w14:textFill>
              </w:rPr>
            </w:pPr>
            <w:r>
              <w:rPr>
                <w:rFonts w:ascii="Times New Roman" w:hAnsi="Times New Roman"/>
                <w:kern w:val="0"/>
                <w:sz w:val="24"/>
                <w:lang w:val="zh-CN" w:bidi="zh-CN"/>
              </w:rPr>
              <w:t>教学实验设备名称</w:t>
            </w:r>
          </w:p>
        </w:tc>
        <w:tc>
          <w:tcPr>
            <w:tcW w:w="939" w:type="pct"/>
            <w:vAlign w:val="center"/>
          </w:tcPr>
          <w:p>
            <w:pPr>
              <w:spacing w:line="300" w:lineRule="exact"/>
              <w:jc w:val="center"/>
              <w:rPr>
                <w:rFonts w:ascii="Times New Roman" w:hAnsi="Times New Roman" w:eastAsia="黑体"/>
                <w:bCs/>
                <w:caps/>
                <w:color w:val="000000" w:themeColor="text1"/>
                <w:sz w:val="24"/>
                <w14:textFill>
                  <w14:solidFill>
                    <w14:schemeClr w14:val="tx1"/>
                  </w14:solidFill>
                </w14:textFill>
              </w:rPr>
            </w:pPr>
            <w:r>
              <w:rPr>
                <w:rFonts w:ascii="Times New Roman" w:hAnsi="Times New Roman"/>
                <w:kern w:val="0"/>
                <w:sz w:val="24"/>
                <w:lang w:val="zh-CN" w:bidi="zh-CN"/>
              </w:rPr>
              <w:t>型号规格</w:t>
            </w:r>
          </w:p>
        </w:tc>
        <w:tc>
          <w:tcPr>
            <w:tcW w:w="704" w:type="pct"/>
            <w:vAlign w:val="center"/>
          </w:tcPr>
          <w:p>
            <w:pPr>
              <w:spacing w:line="300" w:lineRule="exact"/>
              <w:jc w:val="center"/>
              <w:rPr>
                <w:rFonts w:ascii="Times New Roman" w:hAnsi="Times New Roman" w:eastAsia="黑体"/>
                <w:bCs/>
                <w:caps/>
                <w:color w:val="000000" w:themeColor="text1"/>
                <w:sz w:val="24"/>
                <w14:textFill>
                  <w14:solidFill>
                    <w14:schemeClr w14:val="tx1"/>
                  </w14:solidFill>
                </w14:textFill>
              </w:rPr>
            </w:pPr>
            <w:r>
              <w:rPr>
                <w:rFonts w:ascii="Times New Roman" w:hAnsi="Times New Roman"/>
                <w:kern w:val="0"/>
                <w:sz w:val="24"/>
                <w:lang w:val="zh-CN" w:bidi="zh-CN"/>
              </w:rPr>
              <w:t>数量</w:t>
            </w:r>
          </w:p>
        </w:tc>
        <w:tc>
          <w:tcPr>
            <w:tcW w:w="860" w:type="pct"/>
            <w:vAlign w:val="center"/>
          </w:tcPr>
          <w:p>
            <w:pPr>
              <w:spacing w:line="300" w:lineRule="exact"/>
              <w:jc w:val="center"/>
              <w:rPr>
                <w:rFonts w:ascii="Times New Roman" w:hAnsi="Times New Roman" w:eastAsia="黑体"/>
                <w:bCs/>
                <w:caps/>
                <w:color w:val="000000" w:themeColor="text1"/>
                <w:sz w:val="24"/>
                <w14:textFill>
                  <w14:solidFill>
                    <w14:schemeClr w14:val="tx1"/>
                  </w14:solidFill>
                </w14:textFill>
              </w:rPr>
            </w:pPr>
            <w:r>
              <w:rPr>
                <w:rFonts w:ascii="Times New Roman" w:hAnsi="Times New Roman"/>
                <w:kern w:val="0"/>
                <w:sz w:val="24"/>
                <w:lang w:val="zh-CN" w:bidi="zh-CN"/>
              </w:rPr>
              <w:t>购入时间</w:t>
            </w:r>
          </w:p>
        </w:tc>
        <w:tc>
          <w:tcPr>
            <w:tcW w:w="1107" w:type="pct"/>
            <w:vAlign w:val="center"/>
          </w:tcPr>
          <w:p>
            <w:pPr>
              <w:spacing w:line="300" w:lineRule="exact"/>
              <w:jc w:val="center"/>
              <w:rPr>
                <w:rFonts w:ascii="Times New Roman" w:hAnsi="Times New Roman" w:eastAsia="黑体"/>
                <w:bCs/>
                <w:caps/>
                <w:sz w:val="24"/>
              </w:rPr>
            </w:pPr>
            <w:r>
              <w:rPr>
                <w:rFonts w:ascii="Times New Roman" w:hAnsi="Times New Roman"/>
                <w:kern w:val="0"/>
                <w:sz w:val="24"/>
                <w:lang w:val="zh-CN" w:bidi="zh-CN"/>
              </w:rPr>
              <w:t>设备价值（元）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希施玛CSMAR Solution 软件V4.4</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希施玛</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20230224</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995000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基于python的大数据采集与清洗平台软件</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千城</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20230224</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318500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经济大数据自动化机器人实验系统</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杰科力V2.0</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20230224</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297600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金融大数据自动化机器人实验系统</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杰科力V2.0</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20230224</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298000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新道财务大数据实践教学平台</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新道</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20220922</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579120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希施玛金融大数据挖掘分析实训软件V2.0</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希施玛</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20220922</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248000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智慧课堂主机（含软件）</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青鹿Q-W200GP/青鹿大成智慧课堂管理软件V3.0/课堂互动软件</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20221013</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81000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证券交易行为模拟教学软件</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希施玛</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20211101</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177600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数字经济建模分析平台软件</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希施玛</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20211101</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210000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数据服务</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万得</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20211013</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79000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软件许可</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万得</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20211013</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100800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经济学综合仿真实验系统</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万得</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20211026</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338000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服务器</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联想SR650</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20201112</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52000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商业银行模拟运营决策</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仿真软件系统</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20201113</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186600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全球宏观和行业数据库</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2019版</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20210101</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1000000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VBSE实践教学平台</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V2.0</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20210101</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844000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智能化云财税实战平台-RPA实验教学平台</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无</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20210101</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395000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金税税控虚拟仿真系统</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V1.0</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20210101</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375800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格瑞纳管理科学软件</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AnyLogic专业版V8.2</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20210101</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213700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百分点商业中台实训平台</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无</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20210101</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210000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格瑞纳仓储仿真软件</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V14</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20210101</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196800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踏瑞创业互动授课软件</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V3.0</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20210101</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196000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世格国际贸易综合平台</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V2.0</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20210101</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180000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踏瑞人力资源对抗平台</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V3.0</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20210101</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180000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贝腾营销之道</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V3.0</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20210101</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178800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亿学跨境电商实战平台</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V1.0</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20210101</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172000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精创人力资源沙盘</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V4.1</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20210101</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165000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新道新商战沙盘系统</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V5.0、单班</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20210101</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150000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大数据商业智能分析师课程</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无</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20210101</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140000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电子商务应用软件</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V2.0</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20210101</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115000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企业经营管理沙盘</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V4.1</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20210101</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113000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浙科保险实务模拟</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V2.0</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20210101</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77000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国泰安CSMAR</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V4.0</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20210101</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74440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物流教学实训软件</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V2.1</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20210101</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67000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快递管理教学实训软件</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V3.0</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20210101</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67000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经济计量预测分析软件</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EVIEWS11.0</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20210101</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52000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服务器</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联想SR650</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20210101</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52000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环形曲面屏</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澄通定制</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20210101</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政策模拟系统</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V3.3.8</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202412</w:t>
            </w:r>
            <w:r>
              <w:rPr>
                <w:rFonts w:hint="eastAsia" w:ascii="Times New Roman" w:hAnsi="Times New Roman"/>
                <w:color w:val="000000" w:themeColor="text1"/>
                <w:kern w:val="0"/>
                <w:szCs w:val="21"/>
                <w14:textFill>
                  <w14:solidFill>
                    <w14:schemeClr w14:val="tx1"/>
                  </w14:solidFill>
                </w14:textFill>
              </w:rPr>
              <w:t>01</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350000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GTAP系统</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V2</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202412</w:t>
            </w:r>
            <w:r>
              <w:rPr>
                <w:rFonts w:hint="eastAsia" w:ascii="Times New Roman" w:hAnsi="Times New Roman"/>
                <w:color w:val="000000" w:themeColor="text1"/>
                <w:kern w:val="0"/>
                <w:szCs w:val="21"/>
                <w14:textFill>
                  <w14:solidFill>
                    <w14:schemeClr w14:val="tx1"/>
                  </w14:solidFill>
                </w14:textFill>
              </w:rPr>
              <w:t>01</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文本分析系统</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无</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202412</w:t>
            </w:r>
            <w:r>
              <w:rPr>
                <w:rFonts w:hint="eastAsia" w:ascii="Times New Roman" w:hAnsi="Times New Roman"/>
                <w:color w:val="000000" w:themeColor="text1"/>
                <w:kern w:val="0"/>
                <w:szCs w:val="21"/>
                <w14:textFill>
                  <w14:solidFill>
                    <w14:schemeClr w14:val="tx1"/>
                  </w14:solidFill>
                </w14:textFill>
              </w:rPr>
              <w:t>01</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100000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工商企业数据库</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无</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202412</w:t>
            </w:r>
            <w:r>
              <w:rPr>
                <w:rFonts w:hint="eastAsia" w:ascii="Times New Roman" w:hAnsi="Times New Roman"/>
                <w:color w:val="000000" w:themeColor="text1"/>
                <w:kern w:val="0"/>
                <w:szCs w:val="21"/>
                <w14:textFill>
                  <w14:solidFill>
                    <w14:schemeClr w14:val="tx1"/>
                  </w14:solidFill>
                </w14:textFill>
              </w:rPr>
              <w:t>01</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eastAsia="等线"/>
                <w:color w:val="000000"/>
                <w:sz w:val="22"/>
                <w:szCs w:val="22"/>
              </w:rPr>
              <w:t>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人工智能服务器</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联想 Think Station</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5</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20230712</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1109600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智能计算服务器</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Think sustain</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5</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20221025</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298700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9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计算机服务器</w:t>
            </w:r>
          </w:p>
        </w:tc>
        <w:tc>
          <w:tcPr>
            <w:tcW w:w="939"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联想SR670V2</w:t>
            </w:r>
          </w:p>
        </w:tc>
        <w:tc>
          <w:tcPr>
            <w:tcW w:w="704"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1</w:t>
            </w:r>
          </w:p>
        </w:tc>
        <w:tc>
          <w:tcPr>
            <w:tcW w:w="860"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20230629</w:t>
            </w:r>
          </w:p>
        </w:tc>
        <w:tc>
          <w:tcPr>
            <w:tcW w:w="1107" w:type="pct"/>
            <w:vAlign w:val="center"/>
          </w:tcPr>
          <w:p>
            <w:pPr>
              <w:widowControl/>
              <w:jc w:val="center"/>
              <w:rPr>
                <w:rFonts w:ascii="Times New Roman" w:hAnsi="Times New Roman"/>
                <w:color w:val="000000" w:themeColor="text1"/>
                <w:kern w:val="0"/>
                <w:szCs w:val="21"/>
                <w14:textFill>
                  <w14:solidFill>
                    <w14:schemeClr w14:val="tx1"/>
                  </w14:solidFill>
                </w14:textFill>
              </w:rPr>
            </w:pPr>
            <w:r>
              <w:rPr>
                <w:rFonts w:ascii="Times New Roman" w:hAnsi="Times New Roman"/>
                <w:color w:val="000000" w:themeColor="text1"/>
                <w:kern w:val="0"/>
                <w:szCs w:val="21"/>
                <w14:textFill>
                  <w14:solidFill>
                    <w14:schemeClr w14:val="tx1"/>
                  </w14:solidFill>
                </w14:textFill>
              </w:rPr>
              <w:t>550000</w:t>
            </w:r>
          </w:p>
        </w:tc>
      </w:tr>
    </w:tbl>
    <w:p>
      <w:pPr>
        <w:autoSpaceDE w:val="0"/>
        <w:autoSpaceDN w:val="0"/>
        <w:spacing w:after="54" w:line="400" w:lineRule="exact"/>
        <w:ind w:left="911" w:right="1167"/>
        <w:jc w:val="center"/>
        <w:rPr>
          <w:rFonts w:hint="eastAsia" w:ascii="宋体" w:hAnsi="宋体"/>
          <w:kern w:val="0"/>
          <w:sz w:val="24"/>
          <w:lang w:val="zh-CN" w:bidi="zh-CN"/>
        </w:rPr>
      </w:pPr>
    </w:p>
    <w:p>
      <w:pPr>
        <w:autoSpaceDE w:val="0"/>
        <w:autoSpaceDN w:val="0"/>
        <w:spacing w:after="54" w:line="400" w:lineRule="exact"/>
        <w:ind w:left="911" w:right="1167"/>
        <w:jc w:val="center"/>
        <w:rPr>
          <w:rFonts w:hint="eastAsia" w:ascii="宋体" w:hAnsi="宋体"/>
          <w:kern w:val="0"/>
          <w:sz w:val="24"/>
          <w:lang w:val="zh-CN" w:bidi="zh-CN"/>
        </w:rPr>
      </w:pPr>
    </w:p>
    <w:p>
      <w:pPr>
        <w:autoSpaceDE w:val="0"/>
        <w:autoSpaceDN w:val="0"/>
        <w:spacing w:line="400" w:lineRule="exact"/>
        <w:ind w:left="20"/>
        <w:jc w:val="center"/>
        <w:rPr>
          <w:rFonts w:hint="eastAsia" w:ascii="黑体" w:hAnsi="黑体" w:eastAsia="黑体" w:cs="黑体"/>
          <w:color w:val="00B0F0"/>
          <w:kern w:val="0"/>
          <w:sz w:val="32"/>
          <w:szCs w:val="32"/>
          <w:lang w:val="zh-CN" w:bidi="zh-CN"/>
        </w:rPr>
      </w:pPr>
      <w:r>
        <w:rPr>
          <w:rFonts w:hint="eastAsia" w:ascii="Times New Roman" w:hAnsi="Times New Roman" w:eastAsia="黑体" w:cs="黑体"/>
          <w:kern w:val="0"/>
          <w:sz w:val="32"/>
          <w:szCs w:val="32"/>
          <w:lang w:bidi="zh-CN"/>
        </w:rPr>
        <w:t>8</w:t>
      </w:r>
      <w:r>
        <w:rPr>
          <w:rFonts w:ascii="黑体" w:hAnsi="黑体" w:eastAsia="黑体" w:cs="黑体"/>
          <w:kern w:val="0"/>
          <w:sz w:val="32"/>
          <w:szCs w:val="32"/>
          <w:lang w:val="zh-CN" w:bidi="zh-CN"/>
        </w:rPr>
        <w:t>.申请增设专业的理由和基础</w:t>
      </w: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pPr>
              <w:autoSpaceDE w:val="0"/>
              <w:autoSpaceDN w:val="0"/>
              <w:ind w:firstLine="480" w:firstLineChars="200"/>
              <w:rPr>
                <w:rFonts w:hint="eastAsia" w:ascii="宋体" w:hAnsi="宋体"/>
                <w:kern w:val="0"/>
                <w:sz w:val="24"/>
                <w:lang w:val="zh-CN" w:bidi="zh-CN"/>
              </w:rPr>
            </w:pPr>
            <w:r>
              <w:rPr>
                <w:rFonts w:ascii="宋体" w:hAnsi="宋体"/>
                <w:kern w:val="0"/>
                <w:sz w:val="24"/>
                <w:lang w:val="zh-CN" w:bidi="zh-CN"/>
              </w:rPr>
              <w:t>（</w:t>
            </w:r>
            <w:r>
              <w:rPr>
                <w:rFonts w:ascii="宋体" w:hAnsi="宋体"/>
                <w:spacing w:val="-1"/>
                <w:kern w:val="0"/>
                <w:sz w:val="24"/>
                <w:lang w:val="zh-CN" w:bidi="zh-CN"/>
              </w:rPr>
              <w:t>应包括申请增设专业的主要理由、支撑该专业发展的学科基础、学校专业发展规划等方</w:t>
            </w:r>
            <w:r>
              <w:rPr>
                <w:rFonts w:ascii="宋体" w:hAnsi="宋体"/>
                <w:kern w:val="0"/>
                <w:sz w:val="24"/>
                <w:lang w:val="zh-CN" w:bidi="zh-CN"/>
              </w:rPr>
              <w:t>面的内容</w:t>
            </w:r>
            <w:r>
              <w:rPr>
                <w:rFonts w:ascii="宋体" w:hAnsi="宋体"/>
                <w:spacing w:val="-120"/>
                <w:kern w:val="0"/>
                <w:sz w:val="24"/>
                <w:lang w:val="zh-CN" w:bidi="zh-CN"/>
              </w:rPr>
              <w:t>）</w:t>
            </w:r>
            <w:r>
              <w:rPr>
                <w:rFonts w:ascii="宋体" w:hAnsi="宋体"/>
                <w:kern w:val="0"/>
                <w:sz w:val="24"/>
                <w:lang w:val="zh-CN" w:bidi="zh-CN"/>
              </w:rPr>
              <w:t>（如需要可加页）</w:t>
            </w:r>
          </w:p>
          <w:p>
            <w:pPr>
              <w:autoSpaceDE w:val="0"/>
              <w:autoSpaceDN w:val="0"/>
              <w:spacing w:before="160" w:after="160" w:line="360" w:lineRule="auto"/>
              <w:rPr>
                <w:rFonts w:hint="eastAsia" w:ascii="宋体" w:hAnsi="宋体"/>
                <w:kern w:val="0"/>
                <w:sz w:val="24"/>
                <w:lang w:val="zh-CN" w:bidi="zh-CN"/>
              </w:rPr>
            </w:pPr>
            <w:r>
              <w:rPr>
                <w:rFonts w:hint="eastAsia" w:ascii="宋体" w:hAnsi="宋体"/>
                <w:b/>
                <w:bCs/>
                <w:kern w:val="0"/>
                <w:sz w:val="24"/>
                <w:lang w:val="zh-CN" w:bidi="zh-CN"/>
              </w:rPr>
              <w:t>一、申请增设数字经济专业的主要理由</w:t>
            </w:r>
          </w:p>
          <w:p>
            <w:pPr>
              <w:autoSpaceDE w:val="0"/>
              <w:autoSpaceDN w:val="0"/>
              <w:spacing w:before="120" w:after="120" w:line="360" w:lineRule="auto"/>
              <w:ind w:firstLine="482" w:firstLineChars="200"/>
              <w:rPr>
                <w:rFonts w:hint="eastAsia" w:ascii="宋体" w:hAnsi="宋体"/>
                <w:kern w:val="0"/>
                <w:sz w:val="24"/>
                <w:lang w:val="zh-CN" w:bidi="zh-CN"/>
              </w:rPr>
            </w:pPr>
            <w:r>
              <w:rPr>
                <w:rFonts w:hint="eastAsia" w:ascii="宋体" w:hAnsi="宋体"/>
                <w:b/>
                <w:bCs/>
                <w:kern w:val="0"/>
                <w:sz w:val="24"/>
                <w:lang w:val="zh-CN" w:bidi="zh-CN"/>
              </w:rPr>
              <w:t>（一）政策依据充分，符合国家与地方战略布局</w:t>
            </w:r>
          </w:p>
          <w:p>
            <w:pPr>
              <w:autoSpaceDE w:val="0"/>
              <w:autoSpaceDN w:val="0"/>
              <w:spacing w:line="360" w:lineRule="auto"/>
              <w:ind w:firstLine="482" w:firstLineChars="200"/>
              <w:rPr>
                <w:rFonts w:hint="eastAsia" w:ascii="宋体" w:hAnsi="宋体"/>
                <w:b/>
                <w:bCs/>
                <w:kern w:val="0"/>
                <w:sz w:val="24"/>
                <w:lang w:val="zh-CN" w:bidi="zh-CN"/>
              </w:rPr>
            </w:pPr>
            <w:r>
              <w:rPr>
                <w:rFonts w:hint="eastAsia" w:ascii="宋体" w:hAnsi="宋体"/>
                <w:b/>
                <w:bCs/>
                <w:kern w:val="0"/>
                <w:sz w:val="24"/>
                <w:lang w:val="zh-CN" w:bidi="zh-CN"/>
              </w:rPr>
              <w:t>1.国家政策层面</w:t>
            </w:r>
          </w:p>
          <w:p>
            <w:pPr>
              <w:autoSpaceDE w:val="0"/>
              <w:autoSpaceDN w:val="0"/>
              <w:spacing w:line="360" w:lineRule="auto"/>
              <w:ind w:firstLine="480" w:firstLineChars="200"/>
              <w:rPr>
                <w:rFonts w:hint="eastAsia" w:ascii="宋体" w:hAnsi="宋体"/>
                <w:kern w:val="0"/>
                <w:sz w:val="24"/>
                <w:lang w:val="zh-CN" w:bidi="zh-CN"/>
              </w:rPr>
            </w:pPr>
            <w:r>
              <w:rPr>
                <w:rFonts w:hint="eastAsia" w:ascii="宋体" w:hAnsi="宋体"/>
                <w:kern w:val="0"/>
                <w:sz w:val="24"/>
                <w:lang w:val="zh-CN" w:bidi="zh-CN"/>
              </w:rPr>
              <w:t>党的二十大报告明确提出“加快发展数字经济，促进数字经济和实体经济深度融合”。2023年组建国家数据局，数据要素市场化配置进入制度落地期。《“数据要素×”三年行动计划（2024—2026年）》推动数字经济从规模扩张转向质量提升。教育部新文科建设明确强调文科与理工科的交叉融合。2025年，国家发展改革委、国家数据局、教育部等五部门联合印发《关于加强数据要素学科专业建设和数字人才队伍建设的意见》（发改数据〔2025〕1425号），明确支持高校建设数字经济与管理学科专业，为本专业申报提供了直接的政策依据。数字经济专业（020109T）已列入教育部《普通高等学校本科专业目录》，属于经济学门类下的特设专业，归属明确、设置依据清晰。</w:t>
            </w:r>
          </w:p>
          <w:p>
            <w:pPr>
              <w:autoSpaceDE w:val="0"/>
              <w:autoSpaceDN w:val="0"/>
              <w:spacing w:line="360" w:lineRule="auto"/>
              <w:ind w:firstLine="482" w:firstLineChars="200"/>
              <w:rPr>
                <w:rFonts w:hint="eastAsia" w:ascii="宋体" w:hAnsi="宋体"/>
                <w:b/>
                <w:bCs/>
                <w:kern w:val="0"/>
                <w:sz w:val="24"/>
                <w:lang w:val="zh-CN" w:bidi="zh-CN"/>
              </w:rPr>
            </w:pPr>
            <w:r>
              <w:rPr>
                <w:rFonts w:hint="eastAsia" w:ascii="宋体" w:hAnsi="宋体"/>
                <w:b/>
                <w:bCs/>
                <w:kern w:val="0"/>
                <w:sz w:val="24"/>
                <w:lang w:val="zh-CN" w:bidi="zh-CN"/>
              </w:rPr>
              <w:t>2.广西地方政策层面</w:t>
            </w:r>
          </w:p>
          <w:p>
            <w:pPr>
              <w:autoSpaceDE w:val="0"/>
              <w:autoSpaceDN w:val="0"/>
              <w:spacing w:line="360" w:lineRule="auto"/>
              <w:ind w:firstLine="480" w:firstLineChars="200"/>
              <w:rPr>
                <w:rFonts w:hint="eastAsia" w:ascii="宋体" w:hAnsi="宋体"/>
                <w:kern w:val="0"/>
                <w:sz w:val="24"/>
                <w:lang w:val="zh-CN" w:bidi="zh-CN"/>
              </w:rPr>
            </w:pPr>
            <w:r>
              <w:rPr>
                <w:rFonts w:hint="eastAsia" w:ascii="宋体" w:hAnsi="宋体"/>
                <w:kern w:val="0"/>
                <w:sz w:val="24"/>
                <w:lang w:val="zh-CN" w:bidi="zh-CN"/>
              </w:rPr>
              <w:t>2018年广西壮族自治区人民政府出台《广西数字经济发展规划（2018-2025）》，2024年广西壮族自治区大数据发展局印发《广西促进数字经济发展三年行动方案（2024—2026年）》，对数字经济发展提出明确目标。2025年广西壮族自治区人力资源和社会保障厅等9部门印发《广西壮族自治区加快数字人才培育支撑数字经济发展实施方案（2025—2027年）》明确支持高校开设人工智能、数据科学、金融科技等新兴专业，鼓励数字经济骨干企业与高校共建数字产业学院。上述政策为我校申报数字经济专业提供了坚实的政策支撑。</w:t>
            </w:r>
          </w:p>
          <w:p>
            <w:pPr>
              <w:autoSpaceDE w:val="0"/>
              <w:autoSpaceDN w:val="0"/>
              <w:spacing w:before="120" w:after="120" w:line="360" w:lineRule="auto"/>
              <w:ind w:firstLine="482" w:firstLineChars="200"/>
              <w:rPr>
                <w:rFonts w:hint="eastAsia" w:ascii="宋体" w:hAnsi="宋体"/>
                <w:b/>
                <w:bCs/>
                <w:kern w:val="0"/>
                <w:sz w:val="24"/>
                <w:lang w:val="zh-CN" w:bidi="zh-CN"/>
              </w:rPr>
            </w:pPr>
            <w:r>
              <w:rPr>
                <w:rFonts w:hint="eastAsia" w:ascii="宋体" w:hAnsi="宋体"/>
                <w:b/>
                <w:bCs/>
                <w:kern w:val="0"/>
                <w:sz w:val="24"/>
                <w:lang w:val="zh-CN" w:bidi="zh-CN"/>
              </w:rPr>
              <w:t>（二）顺应学科发展趋势，契合新文科建设方向</w:t>
            </w:r>
          </w:p>
          <w:p>
            <w:pPr>
              <w:autoSpaceDE w:val="0"/>
              <w:autoSpaceDN w:val="0"/>
              <w:spacing w:line="360" w:lineRule="auto"/>
              <w:ind w:firstLine="480" w:firstLineChars="200"/>
              <w:rPr>
                <w:rFonts w:hint="eastAsia" w:ascii="宋体" w:hAnsi="宋体"/>
                <w:kern w:val="0"/>
                <w:sz w:val="24"/>
                <w:lang w:val="zh-CN" w:bidi="zh-CN"/>
              </w:rPr>
            </w:pPr>
            <w:r>
              <w:rPr>
                <w:rFonts w:hint="eastAsia" w:ascii="宋体" w:hAnsi="宋体"/>
                <w:kern w:val="0"/>
                <w:sz w:val="24"/>
                <w:lang w:val="zh-CN" w:bidi="zh-CN"/>
              </w:rPr>
              <w:t>数字经济已成为国民经济基础性力量。据中国信息通信研究院《中国数字经济发展研究报告（2025年）》，2024年我国数字经济规模达59.2万亿元，占GDP比重43.8%，同比名义增长9.69%，高于同期GDP名义增速5.5个百分点。我国数字经济规模从2012年的11.2万亿元增长至2024年的59.2万亿元，十二年间规模扩张了5.3倍。数字经济全要素生产率对经济增长的贡献率从2013年的16.30%增长至2024年的23.75%，已成为支撑经济运行的重要力量。</w:t>
            </w:r>
          </w:p>
          <w:p>
            <w:pPr>
              <w:autoSpaceDE w:val="0"/>
              <w:autoSpaceDN w:val="0"/>
              <w:spacing w:line="360" w:lineRule="auto"/>
              <w:ind w:firstLine="480" w:firstLineChars="200"/>
              <w:rPr>
                <w:rFonts w:hint="eastAsia" w:ascii="宋体" w:hAnsi="宋体"/>
                <w:kern w:val="0"/>
                <w:sz w:val="24"/>
                <w:lang w:val="zh-CN" w:bidi="zh-CN"/>
              </w:rPr>
            </w:pPr>
            <w:r>
              <w:rPr>
                <w:rFonts w:hint="eastAsia" w:ascii="宋体" w:hAnsi="宋体"/>
                <w:kern w:val="0"/>
                <w:sz w:val="24"/>
                <w:lang w:val="zh-CN" w:bidi="zh-CN"/>
              </w:rPr>
              <w:t>新文科建设推动学科交叉融合。数字经济专业是适应数字经济发展、数据要素市场建设和产业数字化转型需要而设置的经济学类新兴专业，是经济学、数据科学、信息技术和产业应用交叉融合形成的新型专业，重点关注数字经济运行规律、数据要素配置、数字平台发展、产业数字化转型和数字经济治理等问题，完全契合新文科建设强调的文科与理工科交叉融合方向。</w:t>
            </w:r>
          </w:p>
          <w:p>
            <w:pPr>
              <w:autoSpaceDE w:val="0"/>
              <w:autoSpaceDN w:val="0"/>
              <w:spacing w:line="360" w:lineRule="auto"/>
              <w:ind w:firstLine="480" w:firstLineChars="200"/>
              <w:rPr>
                <w:rFonts w:hint="eastAsia" w:ascii="宋体" w:hAnsi="宋体"/>
                <w:kern w:val="0"/>
                <w:sz w:val="24"/>
                <w:lang w:val="zh-CN" w:bidi="zh-CN"/>
              </w:rPr>
            </w:pPr>
            <w:r>
              <w:rPr>
                <w:rFonts w:hint="eastAsia" w:ascii="宋体" w:hAnsi="宋体"/>
                <w:kern w:val="0"/>
                <w:sz w:val="24"/>
                <w:lang w:val="zh-CN" w:bidi="zh-CN"/>
              </w:rPr>
              <w:t>当前全国高校专业布局加速迭代，数字经济专业已成为增长新极。截至2025年，全国已有272所高校（不含独立学院）开设该本科专业，其布点增速在经济学门类中位居前列。相较之下，广西专业布点明显滞后，全区仅桂林电子科技大学、广西民族大学等8所院校开设此专业。更为关键的是，现有布局存在显著的结构性短板，缺乏能在“经济学基础、数字技术能力和东盟特色”三个维度上形成复合竞争优势的院校集群。我校拟设的数字经济专业，恰好能够弥补这一结构性短板。</w:t>
            </w:r>
          </w:p>
          <w:p>
            <w:pPr>
              <w:autoSpaceDE w:val="0"/>
              <w:autoSpaceDN w:val="0"/>
              <w:spacing w:before="120" w:after="120" w:line="360" w:lineRule="auto"/>
              <w:ind w:firstLine="482" w:firstLineChars="200"/>
              <w:rPr>
                <w:rFonts w:hint="eastAsia" w:ascii="宋体" w:hAnsi="宋体"/>
                <w:b/>
                <w:bCs/>
                <w:kern w:val="0"/>
                <w:sz w:val="24"/>
                <w:lang w:val="zh-CN" w:bidi="zh-CN"/>
              </w:rPr>
            </w:pPr>
            <w:r>
              <w:rPr>
                <w:rFonts w:hint="eastAsia" w:ascii="宋体" w:hAnsi="宋体"/>
                <w:b/>
                <w:bCs/>
                <w:kern w:val="0"/>
                <w:sz w:val="24"/>
                <w:lang w:val="zh-CN" w:bidi="zh-CN"/>
              </w:rPr>
              <w:t>（三）人才需求迫切，市场缺口巨大</w:t>
            </w:r>
          </w:p>
          <w:p>
            <w:pPr>
              <w:autoSpaceDE w:val="0"/>
              <w:autoSpaceDN w:val="0"/>
              <w:spacing w:line="360" w:lineRule="auto"/>
              <w:ind w:firstLine="480" w:firstLineChars="200"/>
              <w:rPr>
                <w:rFonts w:hint="eastAsia" w:ascii="宋体" w:hAnsi="宋体"/>
                <w:kern w:val="0"/>
                <w:sz w:val="24"/>
                <w:lang w:val="zh-CN" w:bidi="zh-CN"/>
              </w:rPr>
            </w:pPr>
            <w:r>
              <w:rPr>
                <w:rFonts w:hint="eastAsia" w:ascii="宋体" w:hAnsi="宋体"/>
                <w:kern w:val="0"/>
                <w:sz w:val="24"/>
                <w:lang w:val="zh-CN" w:bidi="zh-CN"/>
              </w:rPr>
              <w:t>全国层面人才缺口突出。据《中国数字经济人才发展报告（2025）》测算，截至2024年底，我国数字经济人才缺口已超过3200万人，高端复合型人才与技能型实操人才双重短缺，人才供需矛盾突出。企业迫切需要既精通数字技术、又深刻理解行业业务逻辑的复合型人才。</w:t>
            </w:r>
          </w:p>
          <w:p>
            <w:pPr>
              <w:autoSpaceDE w:val="0"/>
              <w:autoSpaceDN w:val="0"/>
              <w:spacing w:line="360" w:lineRule="auto"/>
              <w:ind w:firstLine="480" w:firstLineChars="200"/>
              <w:rPr>
                <w:rFonts w:hint="eastAsia" w:ascii="宋体" w:hAnsi="宋体"/>
                <w:kern w:val="0"/>
                <w:sz w:val="24"/>
                <w:lang w:val="zh-CN" w:bidi="zh-CN"/>
              </w:rPr>
            </w:pPr>
            <w:r>
              <w:rPr>
                <w:rFonts w:hint="eastAsia" w:ascii="宋体" w:hAnsi="宋体"/>
                <w:kern w:val="0"/>
                <w:sz w:val="24"/>
                <w:lang w:val="zh-CN" w:bidi="zh-CN"/>
              </w:rPr>
              <w:t>广西人才结构性短缺更为严峻。广西数字经济产业快速发展，2024年数字经济企业总数达1.93万家（同比增长12.9%），规上数字经济企业1403家。然而数字人才供给存在明显短板，数字贸易、数据治理、AI应用和东盟市场运营等复合型岗位人才匹配不足，人才外流问题同样突出。调研表明，面向东盟定位的复合型人才由于技能的区域专属性，在广西本地就业的意愿明显高于通用型数字人才，这为我校差异化培养提供了重要依据。</w:t>
            </w:r>
          </w:p>
          <w:p>
            <w:pPr>
              <w:autoSpaceDE w:val="0"/>
              <w:autoSpaceDN w:val="0"/>
              <w:spacing w:line="360" w:lineRule="auto"/>
              <w:ind w:firstLine="480" w:firstLineChars="200"/>
              <w:rPr>
                <w:rFonts w:hint="eastAsia" w:ascii="宋体" w:hAnsi="宋体"/>
                <w:kern w:val="0"/>
                <w:sz w:val="24"/>
                <w:lang w:val="zh-CN" w:bidi="zh-CN"/>
              </w:rPr>
            </w:pPr>
            <w:r>
              <w:rPr>
                <w:rFonts w:hint="eastAsia" w:ascii="宋体" w:hAnsi="宋体"/>
                <w:kern w:val="0"/>
                <w:sz w:val="24"/>
                <w:lang w:val="zh-CN" w:bidi="zh-CN"/>
              </w:rPr>
              <w:t>就业前景广阔。数字经济专业毕业生主要面向数据分析与商业智能、数字商务与跨境电商、数字金融与金融科技、产业数字化咨询、数字政务与数据治理等岗位群。据招聘平台数据，数字经济相关岗位薪资普遍高于传统经济学岗位（注：根据多家招聘平台数据，薪资溢价在15%—40%之间，因岗位类型和地区而异）。近年来高校毕业生进入数字经济领域的比例逐年提升，市场空间广阔。</w:t>
            </w:r>
          </w:p>
          <w:p>
            <w:pPr>
              <w:autoSpaceDE w:val="0"/>
              <w:autoSpaceDN w:val="0"/>
              <w:spacing w:before="120" w:after="120" w:line="360" w:lineRule="auto"/>
              <w:ind w:firstLine="482" w:firstLineChars="200"/>
              <w:rPr>
                <w:rFonts w:hint="eastAsia" w:ascii="宋体" w:hAnsi="宋体"/>
                <w:b/>
                <w:bCs/>
                <w:kern w:val="0"/>
                <w:sz w:val="24"/>
                <w:lang w:val="zh-CN" w:bidi="zh-CN"/>
              </w:rPr>
            </w:pPr>
            <w:r>
              <w:rPr>
                <w:rFonts w:hint="eastAsia" w:ascii="宋体" w:hAnsi="宋体"/>
                <w:b/>
                <w:bCs/>
                <w:kern w:val="0"/>
                <w:sz w:val="24"/>
                <w:lang w:val="zh-CN" w:bidi="zh-CN"/>
              </w:rPr>
              <w:t>（四）服务区域发展需求，助力广西面向东盟的数字经济合作</w:t>
            </w:r>
          </w:p>
          <w:p>
            <w:pPr>
              <w:autoSpaceDE w:val="0"/>
              <w:autoSpaceDN w:val="0"/>
              <w:spacing w:line="360" w:lineRule="auto"/>
              <w:ind w:firstLine="480" w:firstLineChars="200"/>
              <w:rPr>
                <w:rFonts w:hint="eastAsia" w:ascii="宋体" w:hAnsi="宋体"/>
                <w:kern w:val="0"/>
                <w:sz w:val="24"/>
                <w:lang w:val="zh-CN" w:bidi="zh-CN"/>
              </w:rPr>
            </w:pPr>
            <w:r>
              <w:rPr>
                <w:rFonts w:hint="eastAsia" w:ascii="宋体" w:hAnsi="宋体"/>
                <w:kern w:val="0"/>
                <w:sz w:val="24"/>
                <w:lang w:val="zh-CN" w:bidi="zh-CN"/>
              </w:rPr>
              <w:t>广西是中国唯一与东盟国家海陆相连的省份，中国—东盟信息港、中国（广西）自由贸易试验区、面向东盟的金融开放门户等国家级平台相继落地。据广西壮族自治区商务厅数据，2024年广西跨境电商进出口额同比增长超2倍。随着RCEP全面实施和中国—东盟自贸区3.0版建设加速推进，跨境电子商务、数字支付、智慧物流、数字文旅等领域合作持续深化，对兼具经济学理论基础、数据分析能力、跨境数字贸易知识和东盟区域理解的复合型人才需求日益迫切。</w:t>
            </w:r>
          </w:p>
          <w:p>
            <w:pPr>
              <w:autoSpaceDE w:val="0"/>
              <w:autoSpaceDN w:val="0"/>
              <w:spacing w:before="160" w:after="160" w:line="360" w:lineRule="auto"/>
              <w:rPr>
                <w:rFonts w:hint="eastAsia" w:ascii="宋体" w:hAnsi="宋体"/>
                <w:b/>
                <w:bCs/>
                <w:kern w:val="0"/>
                <w:sz w:val="24"/>
                <w:lang w:val="zh-CN" w:bidi="zh-CN"/>
              </w:rPr>
            </w:pPr>
            <w:r>
              <w:rPr>
                <w:rFonts w:hint="eastAsia" w:ascii="宋体" w:hAnsi="宋体"/>
                <w:b/>
                <w:bCs/>
                <w:kern w:val="0"/>
                <w:sz w:val="24"/>
                <w:lang w:val="zh-CN" w:bidi="zh-CN"/>
              </w:rPr>
              <w:t>二、申请增设数字经济专业的基础</w:t>
            </w:r>
          </w:p>
          <w:p>
            <w:pPr>
              <w:autoSpaceDE w:val="0"/>
              <w:autoSpaceDN w:val="0"/>
              <w:spacing w:before="120" w:after="120" w:line="360" w:lineRule="auto"/>
              <w:ind w:firstLine="482" w:firstLineChars="200"/>
              <w:rPr>
                <w:rFonts w:hint="eastAsia" w:ascii="宋体" w:hAnsi="宋体"/>
                <w:b/>
                <w:bCs/>
                <w:kern w:val="0"/>
                <w:sz w:val="24"/>
                <w:lang w:val="zh-CN" w:bidi="zh-CN"/>
              </w:rPr>
            </w:pPr>
            <w:r>
              <w:rPr>
                <w:rFonts w:hint="eastAsia" w:ascii="宋体" w:hAnsi="宋体"/>
                <w:b/>
                <w:bCs/>
                <w:kern w:val="0"/>
                <w:sz w:val="24"/>
                <w:lang w:val="zh-CN" w:bidi="zh-CN"/>
              </w:rPr>
              <w:t>（一）坚实的学科平台支撑</w:t>
            </w:r>
          </w:p>
          <w:p>
            <w:pPr>
              <w:autoSpaceDE w:val="0"/>
              <w:autoSpaceDN w:val="0"/>
              <w:spacing w:line="360" w:lineRule="auto"/>
              <w:ind w:firstLine="480" w:firstLineChars="200"/>
              <w:rPr>
                <w:rFonts w:hint="eastAsia" w:ascii="宋体" w:hAnsi="宋体"/>
                <w:kern w:val="0"/>
                <w:sz w:val="24"/>
                <w:lang w:val="zh-CN" w:bidi="zh-CN"/>
              </w:rPr>
            </w:pPr>
            <w:r>
              <w:rPr>
                <w:rFonts w:hint="eastAsia" w:ascii="宋体" w:hAnsi="宋体"/>
                <w:kern w:val="0"/>
                <w:sz w:val="24"/>
                <w:lang w:val="zh-CN" w:bidi="zh-CN"/>
              </w:rPr>
              <w:t>学院办学历史悠久，可追溯至1933年经济学泰斗薛暮桥来校任教。学院拥有理论经济学、应用经济学、工商管理学三个一级学科硕士学位授权点，以及MBA、MF、MPAcc三个专业学位授权点。开设经济学、金融学、工商管理、会计学</w:t>
            </w:r>
            <w:r>
              <w:rPr>
                <w:rFonts w:hint="eastAsia" w:ascii="宋体" w:hAnsi="宋体"/>
                <w:kern w:val="0"/>
                <w:sz w:val="24"/>
                <w:lang w:bidi="zh-CN"/>
              </w:rPr>
              <w:t>等</w:t>
            </w:r>
            <w:r>
              <w:rPr>
                <w:rFonts w:hint="eastAsia" w:ascii="宋体" w:hAnsi="宋体"/>
                <w:kern w:val="0"/>
                <w:sz w:val="24"/>
                <w:lang w:val="zh-CN" w:bidi="zh-CN"/>
              </w:rPr>
              <w:t>本科专业，其中经济学和工商管理为国家级一流本科专业建设点，经济学专业在2023年广西本科高校专业评估中获评五星级专业。多年的学科积淀与一流专业建设经验，为数字经济专业奠定了坚实的学科基础。</w:t>
            </w:r>
          </w:p>
          <w:p>
            <w:pPr>
              <w:autoSpaceDE w:val="0"/>
              <w:autoSpaceDN w:val="0"/>
              <w:spacing w:before="120" w:after="120" w:line="360" w:lineRule="auto"/>
              <w:ind w:firstLine="482" w:firstLineChars="200"/>
              <w:rPr>
                <w:rFonts w:hint="eastAsia" w:ascii="宋体" w:hAnsi="宋体"/>
                <w:b/>
                <w:bCs/>
                <w:kern w:val="0"/>
                <w:sz w:val="24"/>
                <w:lang w:val="zh-CN" w:bidi="zh-CN"/>
              </w:rPr>
            </w:pPr>
            <w:r>
              <w:rPr>
                <w:rFonts w:hint="eastAsia" w:ascii="宋体" w:hAnsi="宋体"/>
                <w:b/>
                <w:bCs/>
                <w:kern w:val="0"/>
                <w:sz w:val="24"/>
                <w:lang w:val="zh-CN" w:bidi="zh-CN"/>
              </w:rPr>
              <w:t>（二）高水平的科研平台支撑</w:t>
            </w:r>
          </w:p>
          <w:p>
            <w:pPr>
              <w:autoSpaceDE w:val="0"/>
              <w:autoSpaceDN w:val="0"/>
              <w:spacing w:line="360" w:lineRule="auto"/>
              <w:ind w:firstLine="480" w:firstLineChars="200"/>
              <w:rPr>
                <w:rFonts w:hint="eastAsia" w:ascii="宋体" w:hAnsi="宋体"/>
                <w:kern w:val="0"/>
                <w:sz w:val="24"/>
                <w:lang w:val="zh-CN" w:bidi="zh-CN"/>
              </w:rPr>
            </w:pPr>
            <w:r>
              <w:rPr>
                <w:rFonts w:hint="eastAsia" w:ascii="宋体" w:hAnsi="宋体"/>
                <w:kern w:val="0"/>
                <w:sz w:val="24"/>
                <w:lang w:val="zh-CN" w:bidi="zh-CN"/>
              </w:rPr>
              <w:t>学院拥有广西数字经济研究院、广西数字赋能经济发展重点实验室（自治区级重点实验室）、珠江—西江经济带合作发展研究中心、泛北部湾区域研究中心、西南城市与区域发展研究中心、东盟区域与国别研究院、广西绿色发展研究院等多个省部级和校级研究机构，以及广西运河研究院等3个广西人文社科重点研究基地。这些平台与数字经济领域高度相关，可为数字经济专业的教学科研、产教融合和社会服务提供有力保障。</w:t>
            </w:r>
          </w:p>
          <w:p>
            <w:pPr>
              <w:autoSpaceDE w:val="0"/>
              <w:autoSpaceDN w:val="0"/>
              <w:spacing w:before="120" w:after="120" w:line="360" w:lineRule="auto"/>
              <w:ind w:firstLine="482" w:firstLineChars="200"/>
              <w:rPr>
                <w:rFonts w:hint="eastAsia" w:ascii="宋体" w:hAnsi="宋体"/>
                <w:b/>
                <w:bCs/>
                <w:kern w:val="0"/>
                <w:sz w:val="24"/>
                <w:lang w:val="zh-CN" w:bidi="zh-CN"/>
              </w:rPr>
            </w:pPr>
            <w:r>
              <w:rPr>
                <w:rFonts w:hint="eastAsia" w:ascii="宋体" w:hAnsi="宋体"/>
                <w:b/>
                <w:bCs/>
                <w:kern w:val="0"/>
                <w:sz w:val="24"/>
                <w:lang w:val="zh-CN" w:bidi="zh-CN"/>
              </w:rPr>
              <w:t>（三）雄厚的师资队伍支撑</w:t>
            </w:r>
          </w:p>
          <w:p>
            <w:pPr>
              <w:autoSpaceDE w:val="0"/>
              <w:autoSpaceDN w:val="0"/>
              <w:spacing w:line="360" w:lineRule="auto"/>
              <w:ind w:firstLine="480" w:firstLineChars="200"/>
              <w:rPr>
                <w:rFonts w:hint="eastAsia" w:ascii="宋体" w:hAnsi="宋体"/>
                <w:kern w:val="0"/>
                <w:sz w:val="24"/>
                <w:lang w:val="zh-CN" w:bidi="zh-CN"/>
              </w:rPr>
            </w:pPr>
            <w:r>
              <w:rPr>
                <w:rFonts w:hint="eastAsia" w:ascii="宋体" w:hAnsi="宋体"/>
                <w:kern w:val="0"/>
                <w:sz w:val="24"/>
                <w:lang w:val="zh-CN" w:bidi="zh-CN"/>
              </w:rPr>
              <w:t>学院现有专任教师93人，其中正高级职称31人、副高级职称33人，具有博士学位教师占比超过77%。7位教师获省级人才称号，柔性引进教育部长江学者等高层次人才2人。 近五年，学院承担各级项目260余项，其中国家级重大项目1项、国家级及省部级项目100余项，经费2100多万元。发表CSSCI、SCI、SSCI等高水平论文300余篇，出版专著教材40余部，获省部级研究成果奖10余项。拥有国家级一流课程5门，省级精品或一流课程7门，获省部级教学成果奖5项。师资学科背景覆盖经济学、管理学、数据科学、金融科技等多个与数字经济密切相关的领域。此外，学校计算机科学与技术、统计学等学科以及东南亚语言文化学院的小语种资源，均可为数字经济专业提供跨学科支撑。</w:t>
            </w:r>
          </w:p>
          <w:p>
            <w:pPr>
              <w:autoSpaceDE w:val="0"/>
              <w:autoSpaceDN w:val="0"/>
              <w:spacing w:before="120" w:after="120" w:line="360" w:lineRule="auto"/>
              <w:ind w:firstLine="482" w:firstLineChars="200"/>
              <w:rPr>
                <w:rFonts w:hint="eastAsia" w:ascii="宋体" w:hAnsi="宋体"/>
                <w:b/>
                <w:bCs/>
                <w:kern w:val="0"/>
                <w:sz w:val="24"/>
                <w:lang w:val="zh-CN" w:bidi="zh-CN"/>
              </w:rPr>
            </w:pPr>
            <w:r>
              <w:rPr>
                <w:rFonts w:hint="eastAsia" w:ascii="宋体" w:hAnsi="宋体"/>
                <w:b/>
                <w:bCs/>
                <w:kern w:val="0"/>
                <w:sz w:val="24"/>
                <w:lang w:val="zh-CN" w:bidi="zh-CN"/>
              </w:rPr>
              <w:t>（四）完善实验实训条件</w:t>
            </w:r>
          </w:p>
          <w:p>
            <w:pPr>
              <w:autoSpaceDE w:val="0"/>
              <w:autoSpaceDN w:val="0"/>
              <w:spacing w:line="360" w:lineRule="auto"/>
              <w:ind w:firstLine="480" w:firstLineChars="200"/>
              <w:rPr>
                <w:rFonts w:hint="eastAsia" w:ascii="宋体" w:hAnsi="宋体"/>
                <w:kern w:val="0"/>
                <w:sz w:val="24"/>
                <w:lang w:val="zh-CN" w:bidi="zh-CN"/>
              </w:rPr>
            </w:pPr>
            <w:r>
              <w:rPr>
                <w:rFonts w:hint="eastAsia" w:ascii="宋体" w:hAnsi="宋体"/>
                <w:kern w:val="0"/>
                <w:sz w:val="24"/>
                <w:lang w:val="zh-CN" w:bidi="zh-CN"/>
              </w:rPr>
              <w:t>学院拥有广西高校数字赋能经济发展重点实验室、金融工程实验室、经济管理综合实验室、会计综合实验室、大数据实验室、多功能智慧实验室、信息管理实验实训室等7个专业实验室，总面积840㎡，其中大数据实验室和数字赋能经济实验室可直接支撑数字经济专业的教学和科研需要。学院建有校企合作实习基地和百度松果AI人才实践基地等平台，可为学生提供充分的实践实训条件。</w:t>
            </w:r>
          </w:p>
          <w:p>
            <w:pPr>
              <w:autoSpaceDE w:val="0"/>
              <w:autoSpaceDN w:val="0"/>
              <w:spacing w:before="120" w:after="120" w:line="360" w:lineRule="auto"/>
              <w:ind w:firstLine="482" w:firstLineChars="200"/>
              <w:rPr>
                <w:rFonts w:hint="eastAsia" w:ascii="宋体" w:hAnsi="宋体"/>
                <w:b/>
                <w:bCs/>
                <w:kern w:val="0"/>
                <w:sz w:val="24"/>
                <w:lang w:val="zh-CN" w:bidi="zh-CN"/>
              </w:rPr>
            </w:pPr>
            <w:r>
              <w:rPr>
                <w:rFonts w:hint="eastAsia" w:ascii="宋体" w:hAnsi="宋体"/>
                <w:b/>
                <w:bCs/>
                <w:kern w:val="0"/>
                <w:sz w:val="24"/>
                <w:lang w:val="zh-CN" w:bidi="zh-CN"/>
              </w:rPr>
              <w:t>（五）突出的区位优势与国际化办学特色</w:t>
            </w:r>
          </w:p>
          <w:p>
            <w:pPr>
              <w:autoSpaceDE w:val="0"/>
              <w:autoSpaceDN w:val="0"/>
              <w:spacing w:line="360" w:lineRule="auto"/>
              <w:ind w:firstLine="480" w:firstLineChars="200"/>
              <w:rPr>
                <w:rFonts w:hint="eastAsia" w:ascii="宋体" w:hAnsi="宋体"/>
                <w:kern w:val="0"/>
                <w:sz w:val="24"/>
                <w:lang w:val="zh-CN" w:bidi="zh-CN"/>
              </w:rPr>
            </w:pPr>
            <w:r>
              <w:rPr>
                <w:rFonts w:hint="eastAsia" w:ascii="宋体" w:hAnsi="宋体"/>
                <w:kern w:val="0"/>
                <w:sz w:val="24"/>
                <w:lang w:val="zh-CN" w:bidi="zh-CN"/>
              </w:rPr>
              <w:t>学院地处广西桂林，毗邻东盟，具备服务地方和面向东盟的双重区位优势。学院已获得英国BGA商学院毕业生协会铜牌认证并入围BGA金牌认证直通车轨道，获准成为AACSB会员，依托教育部中外人文交流中心共建“一带一路”创新创业中外人文交流人才培养基地。广西师范大学作为教育部来华留学示范基地，年均接收约1500名国际学生（东盟生源占重要比例）。拟设数字经济专业可立足经济学门类，突出“经济学基础+数字技术工具+东盟应用场景”的培养特色，面向数字贸易、数字金融、产业数字化、平台运营、数据治理和跨境数字经济等方向，培养兼具经济学理论基础、数据分析能力、数字平台理解能力和东盟区域理解的复合型、应用型人才，形成与区内其他高校同类专业的差异化竞争优势。</w:t>
            </w:r>
          </w:p>
          <w:p>
            <w:pPr>
              <w:autoSpaceDE w:val="0"/>
              <w:autoSpaceDN w:val="0"/>
              <w:spacing w:before="160" w:after="160" w:line="360" w:lineRule="auto"/>
              <w:rPr>
                <w:rFonts w:hint="eastAsia" w:ascii="宋体" w:hAnsi="宋体"/>
                <w:b/>
                <w:bCs/>
                <w:kern w:val="0"/>
                <w:sz w:val="24"/>
                <w:lang w:val="zh-CN" w:bidi="zh-CN"/>
              </w:rPr>
            </w:pPr>
            <w:r>
              <w:rPr>
                <w:rFonts w:hint="eastAsia" w:ascii="宋体" w:hAnsi="宋体"/>
                <w:b/>
                <w:bCs/>
                <w:kern w:val="0"/>
                <w:sz w:val="24"/>
                <w:lang w:bidi="zh-CN"/>
              </w:rPr>
              <w:t>三、</w:t>
            </w:r>
            <w:r>
              <w:rPr>
                <w:rFonts w:hint="eastAsia" w:ascii="宋体" w:hAnsi="宋体"/>
                <w:b/>
                <w:bCs/>
                <w:kern w:val="0"/>
                <w:sz w:val="24"/>
                <w:lang w:val="zh-CN" w:bidi="zh-CN"/>
              </w:rPr>
              <w:t>学校</w:t>
            </w:r>
            <w:r>
              <w:rPr>
                <w:rFonts w:hint="eastAsia" w:ascii="宋体" w:hAnsi="宋体"/>
                <w:b/>
                <w:bCs/>
                <w:kern w:val="0"/>
                <w:sz w:val="24"/>
                <w:lang w:bidi="zh-CN"/>
              </w:rPr>
              <w:t>及学院</w:t>
            </w:r>
            <w:r>
              <w:rPr>
                <w:rFonts w:hint="eastAsia" w:ascii="宋体" w:hAnsi="宋体"/>
                <w:b/>
                <w:bCs/>
                <w:kern w:val="0"/>
                <w:sz w:val="24"/>
                <w:lang w:val="zh-CN" w:bidi="zh-CN"/>
              </w:rPr>
              <w:t>专业的</w:t>
            </w:r>
            <w:r>
              <w:rPr>
                <w:rFonts w:hint="eastAsia" w:ascii="宋体" w:hAnsi="宋体"/>
                <w:b/>
                <w:bCs/>
                <w:kern w:val="0"/>
                <w:sz w:val="24"/>
                <w:lang w:bidi="zh-CN"/>
              </w:rPr>
              <w:t>事业</w:t>
            </w:r>
            <w:r>
              <w:rPr>
                <w:rFonts w:hint="eastAsia" w:ascii="宋体" w:hAnsi="宋体"/>
                <w:b/>
                <w:bCs/>
                <w:kern w:val="0"/>
                <w:sz w:val="24"/>
                <w:lang w:val="zh-CN" w:bidi="zh-CN"/>
              </w:rPr>
              <w:t>发展规划</w:t>
            </w:r>
          </w:p>
          <w:p>
            <w:pPr>
              <w:autoSpaceDE w:val="0"/>
              <w:autoSpaceDN w:val="0"/>
              <w:spacing w:line="360" w:lineRule="auto"/>
              <w:ind w:firstLine="480" w:firstLineChars="200"/>
              <w:rPr>
                <w:rFonts w:hint="eastAsia" w:ascii="宋体" w:hAnsi="宋体"/>
                <w:kern w:val="0"/>
                <w:sz w:val="24"/>
                <w:lang w:val="zh-CN" w:bidi="zh-CN"/>
              </w:rPr>
            </w:pPr>
            <w:r>
              <w:rPr>
                <w:rFonts w:hint="eastAsia" w:ascii="宋体" w:hAnsi="宋体"/>
                <w:kern w:val="0"/>
                <w:sz w:val="24"/>
                <w:lang w:val="zh-CN" w:bidi="zh-CN"/>
              </w:rPr>
              <w:t>广西师范大学是教育部与广西壮族自治区人民政府共建高校，是自治区重点支持建设的“国内一流大学”。增设数字经济专业，是学校“十四五”本科教育建设框架与经管学科数智化转型逻辑下的具体</w:t>
            </w:r>
            <w:r>
              <w:rPr>
                <w:rFonts w:hint="eastAsia" w:ascii="宋体" w:hAnsi="宋体"/>
                <w:kern w:val="0"/>
                <w:sz w:val="24"/>
                <w:lang w:bidi="zh-CN"/>
              </w:rPr>
              <w:t>落实</w:t>
            </w:r>
            <w:r>
              <w:rPr>
                <w:rFonts w:hint="eastAsia" w:ascii="宋体" w:hAnsi="宋体"/>
                <w:kern w:val="0"/>
                <w:sz w:val="24"/>
                <w:lang w:val="zh-CN" w:bidi="zh-CN"/>
              </w:rPr>
              <w:t>，规划依据可分为校、院两个层次：</w:t>
            </w:r>
          </w:p>
          <w:p>
            <w:pPr>
              <w:autoSpaceDE w:val="0"/>
              <w:autoSpaceDN w:val="0"/>
              <w:spacing w:before="120" w:after="120" w:line="360" w:lineRule="auto"/>
              <w:ind w:firstLine="482" w:firstLineChars="200"/>
              <w:rPr>
                <w:rFonts w:hint="eastAsia" w:ascii="宋体" w:hAnsi="宋体"/>
                <w:b/>
                <w:bCs/>
                <w:kern w:val="0"/>
                <w:sz w:val="24"/>
                <w:lang w:val="zh-CN" w:bidi="zh-CN"/>
              </w:rPr>
            </w:pPr>
            <w:r>
              <w:rPr>
                <w:rFonts w:hint="eastAsia" w:ascii="宋体" w:hAnsi="宋体"/>
                <w:b/>
                <w:bCs/>
                <w:kern w:val="0"/>
                <w:sz w:val="24"/>
                <w:lang w:val="zh-CN" w:bidi="zh-CN"/>
              </w:rPr>
              <w:t>（一）</w:t>
            </w:r>
            <w:r>
              <w:rPr>
                <w:rFonts w:hint="eastAsia" w:ascii="宋体" w:hAnsi="宋体"/>
                <w:b/>
                <w:bCs/>
                <w:kern w:val="0"/>
                <w:sz w:val="24"/>
                <w:lang w:bidi="zh-CN"/>
              </w:rPr>
              <w:t>广西师范大学</w:t>
            </w:r>
            <w:r>
              <w:rPr>
                <w:rFonts w:hint="eastAsia" w:ascii="宋体" w:hAnsi="宋体"/>
                <w:b/>
                <w:bCs/>
                <w:kern w:val="0"/>
                <w:sz w:val="24"/>
                <w:lang w:val="zh-CN" w:bidi="zh-CN"/>
              </w:rPr>
              <w:t>“十四五”规划顶层设计指引数字经济专业建设</w:t>
            </w:r>
          </w:p>
          <w:p>
            <w:pPr>
              <w:autoSpaceDE w:val="0"/>
              <w:autoSpaceDN w:val="0"/>
              <w:spacing w:line="360" w:lineRule="auto"/>
              <w:ind w:firstLine="480" w:firstLineChars="200"/>
              <w:rPr>
                <w:rFonts w:hint="eastAsia" w:ascii="宋体" w:hAnsi="宋体"/>
                <w:kern w:val="0"/>
                <w:sz w:val="24"/>
                <w:lang w:val="zh-CN" w:bidi="zh-CN"/>
              </w:rPr>
            </w:pPr>
            <w:r>
              <w:rPr>
                <w:rFonts w:hint="eastAsia" w:ascii="宋体" w:hAnsi="宋体"/>
                <w:kern w:val="0"/>
                <w:sz w:val="24"/>
                <w:lang w:val="zh-CN" w:bidi="zh-CN"/>
              </w:rPr>
              <w:t>《广西师范大学“十四五”事业发展总体规划》将“推动一流学科和新工科新文科建设”列为提升核心竞争力的关键路径。学校规划明确“实施学科提档升级行动计划、交叉学科建设计划以及新工科、新文科建设计划……实施卓越人才培养工程……实施信息化与智慧校园建设工程”。这一顶层设计意味着专业设置不是静态维持，而是要在交叉融合和数智化方向上动态调整、择优增量。数字经济作为教育部目录内特设专业、经济学类与新文科交叉融合的典型代表，正是这一调整优化方向的题中应有之义。</w:t>
            </w:r>
          </w:p>
          <w:p>
            <w:pPr>
              <w:autoSpaceDE w:val="0"/>
              <w:autoSpaceDN w:val="0"/>
              <w:spacing w:before="120" w:after="120" w:line="360" w:lineRule="auto"/>
              <w:ind w:firstLine="482" w:firstLineChars="200"/>
              <w:rPr>
                <w:rFonts w:hint="eastAsia" w:ascii="宋体" w:hAnsi="宋体"/>
                <w:b/>
                <w:bCs/>
                <w:kern w:val="0"/>
                <w:sz w:val="24"/>
                <w:lang w:val="zh-CN" w:bidi="zh-CN"/>
              </w:rPr>
            </w:pPr>
            <w:r>
              <w:rPr>
                <w:rFonts w:hint="eastAsia" w:ascii="宋体" w:hAnsi="宋体"/>
                <w:b/>
                <w:bCs/>
                <w:kern w:val="0"/>
                <w:sz w:val="24"/>
                <w:lang w:val="zh-CN" w:bidi="zh-CN"/>
              </w:rPr>
              <w:t>（二）经济管理学院“十五五”规划将数字经济专业纳入明确的增设路径</w:t>
            </w:r>
          </w:p>
          <w:p>
            <w:pPr>
              <w:autoSpaceDE w:val="0"/>
              <w:autoSpaceDN w:val="0"/>
              <w:spacing w:line="360" w:lineRule="auto"/>
              <w:ind w:firstLine="480" w:firstLineChars="200"/>
              <w:rPr>
                <w:rFonts w:hint="eastAsia" w:ascii="宋体" w:hAnsi="宋体"/>
                <w:kern w:val="0"/>
                <w:sz w:val="24"/>
                <w:lang w:val="zh-CN" w:bidi="zh-CN"/>
              </w:rPr>
            </w:pPr>
            <w:r>
              <w:rPr>
                <w:rFonts w:hint="eastAsia" w:ascii="宋体" w:hAnsi="宋体"/>
                <w:kern w:val="0"/>
                <w:sz w:val="24"/>
                <w:lang w:bidi="zh-CN"/>
              </w:rPr>
              <w:t>经济管理学</w:t>
            </w:r>
            <w:r>
              <w:rPr>
                <w:rFonts w:hint="eastAsia" w:ascii="宋体" w:hAnsi="宋体"/>
                <w:kern w:val="0"/>
                <w:sz w:val="24"/>
                <w:lang w:val="zh-CN" w:bidi="zh-CN"/>
              </w:rPr>
              <w:t>院“十五五”</w:t>
            </w:r>
            <w:r>
              <w:rPr>
                <w:rFonts w:hint="eastAsia" w:ascii="宋体" w:hAnsi="宋体"/>
                <w:kern w:val="0"/>
                <w:sz w:val="24"/>
                <w:lang w:bidi="zh-CN"/>
              </w:rPr>
              <w:t>事业发展</w:t>
            </w:r>
            <w:r>
              <w:rPr>
                <w:rFonts w:hint="eastAsia" w:ascii="宋体" w:hAnsi="宋体"/>
                <w:kern w:val="0"/>
                <w:sz w:val="24"/>
                <w:lang w:val="zh-CN" w:bidi="zh-CN"/>
              </w:rPr>
              <w:t>规划明确提出“将经济管理学院建设成为‘服务国家重大战略、东盟研究优势突出、数智化人才培养成效显著’的国内一流经济管理学院”。</w:t>
            </w:r>
            <w:r>
              <w:rPr>
                <w:rFonts w:hint="eastAsia" w:ascii="宋体" w:hAnsi="宋体"/>
                <w:kern w:val="0"/>
                <w:sz w:val="24"/>
                <w:lang w:bidi="zh-CN"/>
              </w:rPr>
              <w:t>学院以新文科、新商科建设为导向，将深化“新文科+数智化”专业改造纳入学院的主要任务</w:t>
            </w:r>
            <w:r>
              <w:rPr>
                <w:rFonts w:hint="eastAsia" w:ascii="宋体" w:hAnsi="宋体"/>
                <w:kern w:val="0"/>
                <w:sz w:val="24"/>
                <w:lang w:val="zh-CN" w:bidi="zh-CN"/>
              </w:rPr>
              <w:t>。</w:t>
            </w:r>
            <w:r>
              <w:rPr>
                <w:rFonts w:hint="eastAsia" w:ascii="宋体" w:hAnsi="宋体"/>
                <w:kern w:val="0"/>
                <w:sz w:val="24"/>
                <w:lang w:bidi="zh-CN"/>
              </w:rPr>
              <w:t>为实现这一目标，规划明确提出了新增本科数字经济专业要求，以优化调整专业结构，</w:t>
            </w:r>
            <w:r>
              <w:rPr>
                <w:rFonts w:hint="eastAsia" w:ascii="宋体" w:hAnsi="宋体"/>
                <w:kern w:val="0"/>
                <w:sz w:val="24"/>
                <w:lang w:val="zh-CN" w:bidi="zh-CN"/>
              </w:rPr>
              <w:t>推动传统经管专业向数字化、智能化转型。</w:t>
            </w:r>
          </w:p>
          <w:p>
            <w:pPr>
              <w:autoSpaceDE w:val="0"/>
              <w:autoSpaceDN w:val="0"/>
              <w:spacing w:line="360" w:lineRule="auto"/>
              <w:ind w:firstLine="480" w:firstLineChars="200"/>
              <w:rPr>
                <w:rFonts w:hint="eastAsia" w:ascii="宋体" w:hAnsi="宋体"/>
                <w:kern w:val="0"/>
                <w:sz w:val="24"/>
                <w:lang w:val="zh-CN" w:bidi="zh-CN"/>
              </w:rPr>
            </w:pPr>
            <w:r>
              <w:rPr>
                <w:rFonts w:hint="eastAsia" w:ascii="宋体" w:hAnsi="宋体"/>
                <w:kern w:val="0"/>
                <w:sz w:val="24"/>
                <w:lang w:val="zh-CN" w:bidi="zh-CN"/>
              </w:rPr>
              <w:t>增设数字经济专业，既是落实学校“十四五”新文科建设与专业动态调整框架的延续性举措，也是学院“十五五”数智化人才培养目标的启动性抓手，与学校“1248”总体发展战略中“国内一流大学建设”的定位同向同行。</w:t>
            </w:r>
          </w:p>
          <w:p>
            <w:pPr>
              <w:autoSpaceDE w:val="0"/>
              <w:autoSpaceDN w:val="0"/>
              <w:spacing w:line="360" w:lineRule="auto"/>
              <w:ind w:firstLine="480" w:firstLineChars="200"/>
              <w:rPr>
                <w:rFonts w:hint="eastAsia" w:ascii="黑体" w:hAnsi="黑体" w:eastAsia="黑体" w:cs="黑体"/>
                <w:color w:val="00B0F0"/>
                <w:kern w:val="0"/>
                <w:sz w:val="24"/>
                <w:lang w:val="zh-CN" w:bidi="zh-CN"/>
              </w:rPr>
            </w:pPr>
            <w:r>
              <w:rPr>
                <w:rFonts w:hint="eastAsia" w:ascii="宋体" w:hAnsi="宋体"/>
                <w:kern w:val="0"/>
                <w:sz w:val="24"/>
                <w:lang w:val="zh-CN" w:bidi="zh-CN"/>
              </w:rPr>
              <w:t>综上所述，广西师范大学经济管理学院具备增设数字经济专业所需的政策依据、学科基础、师资力量、平台条件、人才需求和区位优势，申请开设该专业理由充分、基础扎实、条件成熟。</w:t>
            </w:r>
          </w:p>
        </w:tc>
      </w:tr>
    </w:tbl>
    <w:p>
      <w:pPr>
        <w:autoSpaceDE w:val="0"/>
        <w:autoSpaceDN w:val="0"/>
        <w:jc w:val="left"/>
        <w:rPr>
          <w:rFonts w:hint="eastAsia" w:ascii="宋体" w:hAnsi="宋体"/>
          <w:kern w:val="0"/>
          <w:sz w:val="24"/>
          <w:szCs w:val="22"/>
          <w:lang w:val="zh-CN" w:bidi="zh-CN"/>
        </w:rPr>
      </w:pPr>
    </w:p>
    <w:p>
      <w:pPr>
        <w:autoSpaceDE w:val="0"/>
        <w:autoSpaceDN w:val="0"/>
        <w:jc w:val="left"/>
        <w:rPr>
          <w:rFonts w:hint="eastAsia" w:ascii="宋体" w:hAnsi="宋体"/>
          <w:kern w:val="0"/>
          <w:sz w:val="24"/>
          <w:szCs w:val="22"/>
          <w:lang w:val="zh-CN" w:bidi="zh-CN"/>
        </w:rPr>
      </w:pPr>
    </w:p>
    <w:p>
      <w:pPr>
        <w:tabs>
          <w:tab w:val="center" w:pos="5025"/>
        </w:tabs>
        <w:autoSpaceDE w:val="0"/>
        <w:autoSpaceDN w:val="0"/>
        <w:jc w:val="left"/>
        <w:rPr>
          <w:rFonts w:hint="eastAsia" w:ascii="宋体" w:hAnsi="宋体"/>
          <w:kern w:val="0"/>
          <w:sz w:val="24"/>
          <w:szCs w:val="22"/>
          <w:lang w:val="zh-CN" w:bidi="zh-CN"/>
        </w:rPr>
        <w:sectPr>
          <w:headerReference r:id="rId12" w:type="default"/>
          <w:footnotePr>
            <w:numFmt w:val="decimalEnclosedCircleChinese"/>
            <w:numRestart w:val="eachPage"/>
          </w:footnotePr>
          <w:pgSz w:w="11906" w:h="16838"/>
          <w:pgMar w:top="2098" w:right="1474" w:bottom="1984" w:left="1588" w:header="851" w:footer="1559" w:gutter="0"/>
          <w:cols w:space="720" w:num="1"/>
          <w:docGrid w:linePitch="1" w:charSpace="0"/>
        </w:sectPr>
      </w:pPr>
    </w:p>
    <w:p>
      <w:pPr>
        <w:autoSpaceDE w:val="0"/>
        <w:autoSpaceDN w:val="0"/>
        <w:jc w:val="center"/>
        <w:rPr>
          <w:rFonts w:hint="eastAsia" w:ascii="黑体" w:hAnsi="黑体" w:eastAsia="黑体" w:cs="黑体"/>
          <w:kern w:val="0"/>
          <w:sz w:val="32"/>
          <w:szCs w:val="32"/>
          <w:lang w:val="zh-CN" w:bidi="zh-CN"/>
        </w:rPr>
      </w:pPr>
      <w:r>
        <w:rPr>
          <w:rFonts w:hint="eastAsia" w:ascii="Times New Roman" w:hAnsi="Times New Roman" w:eastAsia="黑体" w:cs="黑体"/>
          <w:kern w:val="0"/>
          <w:sz w:val="32"/>
          <w:szCs w:val="32"/>
          <w:lang w:bidi="zh-CN"/>
        </w:rPr>
        <w:t>9</w:t>
      </w:r>
      <w:r>
        <w:rPr>
          <w:rFonts w:ascii="黑体" w:hAnsi="黑体" w:eastAsia="黑体" w:cs="黑体"/>
          <w:kern w:val="0"/>
          <w:sz w:val="32"/>
          <w:szCs w:val="32"/>
          <w:lang w:val="zh-CN" w:bidi="zh-CN"/>
        </w:rPr>
        <w:t>.申请增设专业人才培养方案</w:t>
      </w:r>
    </w:p>
    <w:p>
      <w:pPr>
        <w:spacing w:line="360" w:lineRule="auto"/>
        <w:jc w:val="center"/>
        <w:outlineLvl w:val="1"/>
        <w:rPr>
          <w:rFonts w:hint="eastAsia" w:ascii="黑体" w:hAnsi="黑体" w:eastAsia="黑体" w:cs="黑体"/>
          <w:b/>
          <w:bCs/>
          <w:sz w:val="28"/>
          <w:szCs w:val="28"/>
        </w:rPr>
      </w:pPr>
      <w:bookmarkStart w:id="121" w:name="_Toc373"/>
      <w:bookmarkStart w:id="122" w:name="_Toc6714"/>
    </w:p>
    <w:p>
      <w:pPr>
        <w:jc w:val="center"/>
        <w:rPr>
          <w:rFonts w:hint="eastAsia" w:ascii="黑体" w:hAnsi="黑体" w:eastAsia="黑体" w:cs="黑体"/>
          <w:sz w:val="28"/>
          <w:szCs w:val="28"/>
        </w:rPr>
      </w:pPr>
      <w:bookmarkStart w:id="123" w:name="_Toc29711"/>
      <w:r>
        <w:rPr>
          <w:rFonts w:hint="eastAsia" w:ascii="黑体" w:hAnsi="黑体" w:eastAsia="黑体" w:cs="黑体"/>
          <w:sz w:val="28"/>
          <w:szCs w:val="28"/>
        </w:rPr>
        <w:t>广西师范大学数字经济专业人才培养方案</w:t>
      </w:r>
      <w:bookmarkEnd w:id="121"/>
      <w:bookmarkEnd w:id="122"/>
      <w:bookmarkEnd w:id="123"/>
    </w:p>
    <w:p>
      <w:pPr>
        <w:spacing w:line="360" w:lineRule="auto"/>
        <w:jc w:val="center"/>
        <w:outlineLvl w:val="1"/>
        <w:rPr>
          <w:rFonts w:hint="eastAsia" w:ascii="黑体" w:hAnsi="黑体" w:eastAsia="黑体" w:cs="黑体"/>
          <w:b/>
          <w:bCs/>
          <w:sz w:val="28"/>
          <w:szCs w:val="28"/>
        </w:rPr>
      </w:pPr>
    </w:p>
    <w:p>
      <w:pPr>
        <w:spacing w:line="360" w:lineRule="auto"/>
        <w:rPr>
          <w:rFonts w:hint="eastAsia" w:ascii="宋体" w:hAnsi="宋体" w:cs="宋体"/>
          <w:b/>
          <w:bCs/>
          <w:szCs w:val="21"/>
        </w:rPr>
      </w:pPr>
      <w:r>
        <w:rPr>
          <w:rFonts w:hint="eastAsia" w:ascii="宋体" w:hAnsi="宋体" w:cs="宋体"/>
          <w:b/>
          <w:bCs/>
          <w:szCs w:val="21"/>
        </w:rPr>
        <w:t>一、专业简介</w:t>
      </w:r>
    </w:p>
    <w:p>
      <w:pPr>
        <w:spacing w:line="480" w:lineRule="exact"/>
        <w:ind w:firstLine="420" w:firstLineChars="200"/>
        <w:rPr>
          <w:rFonts w:hint="eastAsia" w:ascii="宋体" w:hAnsi="宋体" w:cs="宋体"/>
          <w:szCs w:val="21"/>
        </w:rPr>
      </w:pPr>
      <w:r>
        <w:rPr>
          <w:rFonts w:ascii="宋体" w:hAnsi="宋体" w:cs="宋体"/>
          <w:szCs w:val="21"/>
        </w:rPr>
        <w:t>数字经济</w:t>
      </w:r>
      <w:r>
        <w:rPr>
          <w:rFonts w:hint="eastAsia" w:ascii="宋体" w:hAnsi="宋体" w:cs="宋体"/>
          <w:szCs w:val="21"/>
        </w:rPr>
        <w:t>专业是一门研究</w:t>
      </w:r>
      <w:r>
        <w:rPr>
          <w:rFonts w:ascii="宋体" w:hAnsi="宋体" w:cs="宋体"/>
          <w:szCs w:val="21"/>
        </w:rPr>
        <w:t>以数据资源为关键要素、以信息通信技术有效使用</w:t>
      </w:r>
      <w:r>
        <w:rPr>
          <w:rFonts w:hint="eastAsia" w:ascii="宋体" w:hAnsi="宋体" w:cs="宋体"/>
          <w:szCs w:val="21"/>
        </w:rPr>
        <w:t>为</w:t>
      </w:r>
      <w:r>
        <w:rPr>
          <w:rFonts w:ascii="宋体" w:hAnsi="宋体" w:cs="宋体"/>
          <w:szCs w:val="21"/>
        </w:rPr>
        <w:t>重要推动力的</w:t>
      </w:r>
      <w:r>
        <w:rPr>
          <w:rFonts w:hint="eastAsia" w:ascii="宋体" w:hAnsi="宋体" w:cs="宋体"/>
          <w:szCs w:val="21"/>
        </w:rPr>
        <w:t>新型数字经济形态运行规律的专业，对</w:t>
      </w:r>
      <w:r>
        <w:rPr>
          <w:rFonts w:ascii="宋体" w:hAnsi="宋体" w:cs="宋体"/>
          <w:szCs w:val="21"/>
        </w:rPr>
        <w:t>促进数字产业化与产业数字化发展</w:t>
      </w:r>
      <w:r>
        <w:rPr>
          <w:rFonts w:hint="eastAsia" w:ascii="宋体" w:hAnsi="宋体" w:cs="宋体"/>
          <w:szCs w:val="21"/>
        </w:rPr>
        <w:t>、</w:t>
      </w:r>
      <w:r>
        <w:rPr>
          <w:rFonts w:ascii="宋体" w:hAnsi="宋体" w:cs="宋体"/>
          <w:szCs w:val="21"/>
        </w:rPr>
        <w:t>实现数字技术与</w:t>
      </w:r>
      <w:r>
        <w:rPr>
          <w:rFonts w:hint="eastAsia" w:ascii="宋体" w:hAnsi="宋体" w:cs="宋体"/>
          <w:szCs w:val="21"/>
        </w:rPr>
        <w:t>产业高质量发展</w:t>
      </w:r>
      <w:r>
        <w:rPr>
          <w:rFonts w:ascii="宋体" w:hAnsi="宋体" w:cs="宋体"/>
          <w:szCs w:val="21"/>
        </w:rPr>
        <w:t>的深度融合</w:t>
      </w:r>
      <w:r>
        <w:rPr>
          <w:rFonts w:hint="eastAsia" w:ascii="宋体" w:hAnsi="宋体" w:cs="宋体"/>
          <w:szCs w:val="21"/>
        </w:rPr>
        <w:t>具有重要作用</w:t>
      </w:r>
      <w:r>
        <w:rPr>
          <w:rFonts w:ascii="宋体" w:hAnsi="宋体" w:cs="宋体"/>
          <w:szCs w:val="21"/>
        </w:rPr>
        <w:t>。</w:t>
      </w:r>
      <w:r>
        <w:rPr>
          <w:rFonts w:hint="eastAsia" w:ascii="宋体" w:hAnsi="宋体" w:cs="宋体"/>
          <w:szCs w:val="21"/>
        </w:rPr>
        <w:t>本专业</w:t>
      </w:r>
      <w:r>
        <w:rPr>
          <w:rFonts w:ascii="宋体" w:hAnsi="宋体" w:cs="宋体"/>
          <w:szCs w:val="21"/>
        </w:rPr>
        <w:t>培养</w:t>
      </w:r>
      <w:r>
        <w:rPr>
          <w:rFonts w:hint="eastAsia" w:ascii="宋体" w:hAnsi="宋体" w:cs="宋体"/>
          <w:szCs w:val="21"/>
        </w:rPr>
        <w:t>具备</w:t>
      </w:r>
      <w:r>
        <w:rPr>
          <w:rFonts w:ascii="宋体" w:hAnsi="宋体" w:cs="宋体"/>
          <w:szCs w:val="21"/>
        </w:rPr>
        <w:t>经济大数据分析和应用能力的高素质复合型人才</w:t>
      </w:r>
      <w:r>
        <w:rPr>
          <w:rFonts w:hint="eastAsia" w:ascii="宋体" w:hAnsi="宋体" w:cs="宋体"/>
          <w:szCs w:val="21"/>
        </w:rPr>
        <w:t>，不仅</w:t>
      </w:r>
      <w:r>
        <w:rPr>
          <w:rFonts w:ascii="宋体" w:hAnsi="宋体" w:cs="宋体"/>
          <w:szCs w:val="21"/>
        </w:rPr>
        <w:t>掌握经济学、大数据科学、计算机科学、人工智能的基础理论知识，</w:t>
      </w:r>
      <w:r>
        <w:rPr>
          <w:rFonts w:hint="eastAsia" w:ascii="宋体" w:hAnsi="宋体" w:cs="宋体"/>
          <w:szCs w:val="21"/>
        </w:rPr>
        <w:t>而且</w:t>
      </w:r>
      <w:r>
        <w:rPr>
          <w:rFonts w:ascii="宋体" w:hAnsi="宋体" w:cs="宋体"/>
          <w:szCs w:val="21"/>
        </w:rPr>
        <w:t>熟悉数字经济运行规律，熟练运用现代信息技术，具有良好的国际视野和多学科交叉的综合素养。</w:t>
      </w:r>
      <w:r>
        <w:rPr>
          <w:rFonts w:hint="eastAsia" w:ascii="宋体" w:hAnsi="宋体" w:cs="宋体"/>
          <w:szCs w:val="21"/>
        </w:rPr>
        <w:t>本专业毕业的学生</w:t>
      </w:r>
      <w:r>
        <w:rPr>
          <w:rFonts w:ascii="宋体" w:hAnsi="宋体" w:cs="宋体"/>
          <w:szCs w:val="21"/>
        </w:rPr>
        <w:t>可从事有关区块链、人工智能、物联网、机器人以及电子商务等新兴领域的相关经济分析、金融分析和行业管理工作。</w:t>
      </w:r>
    </w:p>
    <w:p>
      <w:pPr>
        <w:spacing w:line="480" w:lineRule="exact"/>
        <w:ind w:firstLine="420" w:firstLineChars="200"/>
        <w:rPr>
          <w:rFonts w:hint="eastAsia" w:ascii="宋体" w:hAnsi="宋体" w:cs="宋体"/>
          <w:szCs w:val="21"/>
        </w:rPr>
      </w:pPr>
      <w:r>
        <w:rPr>
          <w:rFonts w:hint="eastAsia" w:ascii="宋体" w:hAnsi="宋体" w:cs="宋体"/>
          <w:szCs w:val="21"/>
        </w:rPr>
        <w:t>本专业所在的广西师范大学经济管理学院经济系开展经济学类专业办学已达80余载，依托理论经济学、区域国别学两个一级学科硕士学位授权点，经济学专业已获首批国家级一流本科专业建设点专业、广西优质经济学专业。近年来经济系取得省部级教学成果奖3项，获批省级教学团队1个，拥有省级及以上人才称号的教师达20人次，主编或参编教材15部，建设或建成实验和实践教学平台5个；近五年，教师主持各级教学改革项目20余项，主持或指导学生负责各级各类教学实践类项目近100项。同时，构建了珠江—西江经济带经济发展、泛北部湾区域经济合作等特色实践教学平台，依托珠江—西江经济带发展研究院等多个平台，着力构建融知识、能力与素质于一体的立体化人才培养体系。</w:t>
      </w:r>
    </w:p>
    <w:p>
      <w:pPr>
        <w:spacing w:line="360" w:lineRule="auto"/>
        <w:rPr>
          <w:rFonts w:hint="eastAsia" w:ascii="宋体" w:hAnsi="宋体" w:cs="宋体"/>
          <w:b/>
          <w:bCs/>
          <w:szCs w:val="21"/>
        </w:rPr>
      </w:pPr>
      <w:r>
        <w:rPr>
          <w:rFonts w:hint="eastAsia" w:ascii="宋体" w:hAnsi="宋体" w:cs="宋体"/>
          <w:b/>
          <w:bCs/>
          <w:szCs w:val="21"/>
        </w:rPr>
        <w:t>二、专业代码、名称</w:t>
      </w:r>
    </w:p>
    <w:p>
      <w:pPr>
        <w:spacing w:line="360" w:lineRule="auto"/>
        <w:ind w:firstLine="211" w:firstLineChars="100"/>
        <w:rPr>
          <w:rFonts w:ascii="Times New Roman" w:hAnsi="Times New Roman"/>
          <w:szCs w:val="21"/>
        </w:rPr>
      </w:pPr>
      <w:r>
        <w:rPr>
          <w:rFonts w:ascii="Times New Roman" w:hAnsi="Times New Roman"/>
          <w:b/>
          <w:bCs/>
          <w:szCs w:val="21"/>
        </w:rPr>
        <w:t>（一）专业代码</w:t>
      </w:r>
      <w:r>
        <w:rPr>
          <w:rFonts w:ascii="Times New Roman" w:hAnsi="Times New Roman"/>
          <w:szCs w:val="21"/>
        </w:rPr>
        <w:t>：020109T</w:t>
      </w:r>
    </w:p>
    <w:p>
      <w:pPr>
        <w:spacing w:line="360" w:lineRule="auto"/>
        <w:ind w:firstLine="211" w:firstLineChars="100"/>
        <w:rPr>
          <w:rFonts w:ascii="Times New Roman" w:hAnsi="Times New Roman" w:eastAsia="仿宋"/>
          <w:i/>
          <w:iCs/>
          <w:szCs w:val="21"/>
        </w:rPr>
      </w:pPr>
      <w:r>
        <w:rPr>
          <w:rFonts w:ascii="Times New Roman" w:hAnsi="Times New Roman"/>
          <w:b/>
          <w:bCs/>
          <w:szCs w:val="21"/>
        </w:rPr>
        <w:t>（二）专业名称：</w:t>
      </w:r>
      <w:r>
        <w:rPr>
          <w:rFonts w:ascii="Times New Roman" w:hAnsi="Times New Roman"/>
          <w:szCs w:val="21"/>
        </w:rPr>
        <w:t>数字经济</w:t>
      </w:r>
    </w:p>
    <w:p>
      <w:pPr>
        <w:spacing w:line="360" w:lineRule="auto"/>
        <w:rPr>
          <w:rFonts w:hint="eastAsia" w:ascii="宋体" w:hAnsi="宋体" w:cs="宋体"/>
          <w:b/>
          <w:bCs/>
          <w:szCs w:val="21"/>
        </w:rPr>
      </w:pPr>
      <w:r>
        <w:rPr>
          <w:rFonts w:hint="eastAsia" w:ascii="宋体" w:hAnsi="宋体" w:cs="宋体"/>
          <w:b/>
          <w:bCs/>
          <w:szCs w:val="21"/>
        </w:rPr>
        <w:t>三、培养目标及毕业要求</w:t>
      </w:r>
    </w:p>
    <w:p>
      <w:pPr>
        <w:spacing w:line="360" w:lineRule="auto"/>
        <w:ind w:firstLine="211" w:firstLineChars="100"/>
        <w:rPr>
          <w:rFonts w:hint="eastAsia" w:ascii="宋体" w:hAnsi="宋体" w:cs="宋体"/>
          <w:szCs w:val="21"/>
        </w:rPr>
      </w:pPr>
      <w:r>
        <w:rPr>
          <w:rFonts w:hint="eastAsia" w:ascii="宋体" w:hAnsi="宋体" w:cs="宋体"/>
          <w:b/>
          <w:bCs/>
          <w:szCs w:val="21"/>
        </w:rPr>
        <w:t>（一）培养类型：</w:t>
      </w:r>
      <w:r>
        <w:rPr>
          <w:rFonts w:hint="eastAsia" w:ascii="宋体" w:hAnsi="宋体" w:cs="宋体"/>
          <w:szCs w:val="21"/>
        </w:rPr>
        <w:t>非师范学术型、复合型</w:t>
      </w:r>
    </w:p>
    <w:p>
      <w:pPr>
        <w:spacing w:line="360" w:lineRule="auto"/>
        <w:ind w:firstLine="211" w:firstLineChars="100"/>
        <w:rPr>
          <w:rFonts w:hint="eastAsia" w:ascii="仿宋" w:hAnsi="仿宋" w:eastAsia="仿宋" w:cs="仿宋"/>
          <w:i/>
          <w:iCs/>
          <w:szCs w:val="21"/>
        </w:rPr>
      </w:pPr>
      <w:r>
        <w:rPr>
          <w:rFonts w:hint="eastAsia" w:ascii="宋体" w:hAnsi="宋体" w:cs="宋体"/>
          <w:b/>
          <w:bCs/>
          <w:szCs w:val="21"/>
        </w:rPr>
        <w:t>（二）培养目标</w:t>
      </w:r>
    </w:p>
    <w:p>
      <w:pPr>
        <w:spacing w:line="360" w:lineRule="auto"/>
        <w:ind w:firstLine="420" w:firstLineChars="200"/>
        <w:rPr>
          <w:rFonts w:hint="eastAsia" w:ascii="宋体" w:hAnsi="宋体" w:cs="宋体"/>
          <w:szCs w:val="21"/>
        </w:rPr>
      </w:pPr>
      <w:r>
        <w:rPr>
          <w:rFonts w:hint="eastAsia" w:ascii="宋体" w:hAnsi="宋体" w:cs="宋体"/>
          <w:szCs w:val="21"/>
        </w:rPr>
        <w:t>本专业立足广西，面向西部陆海新通道、珠江—西江经济带、粤港澳大湾区、中国—东盟自由贸易区及国家数字经济高质量发展战略需求，坚持社会主义办学方向，全面落实立德树人根本任务，培养具有良好的思想品德和道德修养、自觉践行社会主义核心价值观，具有扎实的经济学与数字经济理论基础、开阔的理论视野与数字素养，系统掌握数据要素、数字产业、数字治理、数字贸易等核心知识与现代经济分析、大数据分析、机器学习等技术方法，洞悉数字经济运行规律、产业发展与数字化转型实践，具有国际视野、家国情怀、数据思维和创新创业能力等职业素养，具备服务数字经济发展、适应区域与产业数字化转型需求等职业能力，能够在综合经济管理部门、政策研究部门、数字产业机构、金融机构及企事业单位从事数字经济规划、数据分析、决策支持、数字化管理与运营等工作的德智体美劳全面发展，同时具有跨境数字贸易知识和东盟区域理解的复合型、应用型人才。</w:t>
      </w:r>
    </w:p>
    <w:p>
      <w:pPr>
        <w:spacing w:line="360" w:lineRule="auto"/>
        <w:ind w:firstLine="420" w:firstLineChars="200"/>
        <w:rPr>
          <w:rFonts w:hint="eastAsia" w:ascii="宋体" w:hAnsi="宋体" w:cs="宋体"/>
          <w:szCs w:val="21"/>
        </w:rPr>
      </w:pPr>
      <w:r>
        <w:rPr>
          <w:rFonts w:hint="eastAsia" w:ascii="宋体" w:hAnsi="宋体" w:cs="宋体"/>
          <w:szCs w:val="21"/>
        </w:rPr>
        <w:t>根据本专业人才培养定位，对学生毕业5年左右的职业发展预期目标分解如下：</w:t>
      </w:r>
    </w:p>
    <w:p>
      <w:pPr>
        <w:spacing w:line="360" w:lineRule="auto"/>
        <w:ind w:firstLine="420" w:firstLineChars="200"/>
        <w:rPr>
          <w:rFonts w:hint="eastAsia" w:ascii="宋体" w:hAnsi="宋体" w:cs="宋体"/>
          <w:szCs w:val="21"/>
        </w:rPr>
      </w:pPr>
      <w:r>
        <w:rPr>
          <w:rFonts w:hint="eastAsia" w:ascii="宋体" w:hAnsi="宋体" w:cs="宋体"/>
          <w:szCs w:val="21"/>
        </w:rPr>
        <w:t>1.思想品德优良。品行端正、恪守学术与职业规范，自觉践行社会主义核心价值观，能够全面深入理解党和国家数字经济发展方针、政策，并在工作中贯彻实施。</w:t>
      </w:r>
    </w:p>
    <w:p>
      <w:pPr>
        <w:spacing w:line="360" w:lineRule="auto"/>
        <w:ind w:firstLine="420" w:firstLineChars="200"/>
        <w:rPr>
          <w:rFonts w:hint="eastAsia" w:ascii="宋体" w:hAnsi="宋体" w:cs="宋体"/>
          <w:szCs w:val="21"/>
        </w:rPr>
      </w:pPr>
      <w:r>
        <w:rPr>
          <w:rFonts w:hint="eastAsia" w:ascii="宋体" w:hAnsi="宋体" w:cs="宋体"/>
          <w:szCs w:val="21"/>
        </w:rPr>
        <w:t>2.专业知识扎实。经济学与数字经济专业知识体系完整，具备较强的自主学习与知识拓展能力，能够以数据驱动与数字经济思维跟踪前沿、融合交叉领域知识，持续完善知识结构。</w:t>
      </w:r>
    </w:p>
    <w:p>
      <w:pPr>
        <w:spacing w:line="360" w:lineRule="auto"/>
        <w:ind w:firstLine="420" w:firstLineChars="200"/>
        <w:rPr>
          <w:rFonts w:hint="eastAsia" w:ascii="宋体" w:hAnsi="宋体" w:cs="宋体"/>
          <w:szCs w:val="21"/>
        </w:rPr>
      </w:pPr>
      <w:r>
        <w:rPr>
          <w:rFonts w:hint="eastAsia" w:ascii="宋体" w:hAnsi="宋体" w:cs="宋体"/>
          <w:szCs w:val="21"/>
        </w:rPr>
        <w:t>3.知识应用自如。能够熟练运用现代经济学分析工具、大数据技术、计量与机器学习方法开展经济调查、数据治理、经济建模与决策分析，具备将数字经济理论与方法应用于实际问题的综合能力。</w:t>
      </w:r>
    </w:p>
    <w:p>
      <w:pPr>
        <w:spacing w:line="360" w:lineRule="auto"/>
        <w:ind w:firstLine="420" w:firstLineChars="200"/>
        <w:rPr>
          <w:rFonts w:hint="eastAsia" w:ascii="宋体" w:hAnsi="宋体" w:cs="宋体"/>
          <w:szCs w:val="21"/>
        </w:rPr>
      </w:pPr>
      <w:r>
        <w:rPr>
          <w:rFonts w:hint="eastAsia" w:ascii="宋体" w:hAnsi="宋体" w:cs="宋体"/>
          <w:szCs w:val="21"/>
        </w:rPr>
        <w:t>4.洞悉行业前沿。能够把握国内外数字经济发展趋势、业态创新与实践动态，以国际视野研判数字产业、数据要素市场、数字化转型规律，开展科学对比分析与政策评估。</w:t>
      </w:r>
    </w:p>
    <w:p>
      <w:pPr>
        <w:spacing w:line="360" w:lineRule="auto"/>
        <w:ind w:firstLine="420" w:firstLineChars="200"/>
        <w:rPr>
          <w:rFonts w:hint="eastAsia" w:ascii="宋体" w:hAnsi="宋体" w:cs="宋体"/>
          <w:szCs w:val="21"/>
        </w:rPr>
      </w:pPr>
      <w:r>
        <w:rPr>
          <w:rFonts w:hint="eastAsia" w:ascii="宋体" w:hAnsi="宋体" w:cs="宋体"/>
          <w:szCs w:val="21"/>
        </w:rPr>
        <w:t>5.职业素养良好。具备岗位进阶所需数字技能与综合素养，能够科学研判区域与行业数字化发展态势，系统提升专业能力，拥有较强的创新创业精神、实践能力与表达沟通能力，持续形成职业核心竞争力。</w:t>
      </w:r>
    </w:p>
    <w:p>
      <w:pPr>
        <w:spacing w:line="360" w:lineRule="auto"/>
        <w:ind w:firstLine="211" w:firstLineChars="100"/>
        <w:rPr>
          <w:rFonts w:hint="eastAsia" w:ascii="宋体" w:hAnsi="宋体" w:cs="宋体"/>
          <w:b/>
          <w:bCs/>
          <w:szCs w:val="21"/>
        </w:rPr>
      </w:pPr>
      <w:r>
        <w:rPr>
          <w:rFonts w:hint="eastAsia" w:ascii="宋体" w:hAnsi="宋体" w:cs="宋体"/>
          <w:b/>
          <w:bCs/>
          <w:szCs w:val="21"/>
        </w:rPr>
        <w:t>（三）毕业要求</w:t>
      </w:r>
    </w:p>
    <w:p>
      <w:pPr>
        <w:spacing w:line="360" w:lineRule="auto"/>
        <w:ind w:firstLine="420" w:firstLineChars="200"/>
        <w:rPr>
          <w:rFonts w:hint="eastAsia" w:ascii="宋体" w:hAnsi="宋体" w:cs="宋体"/>
          <w:szCs w:val="21"/>
        </w:rPr>
      </w:pPr>
      <w:r>
        <w:rPr>
          <w:rFonts w:hint="eastAsia" w:ascii="宋体" w:hAnsi="宋体" w:cs="宋体"/>
          <w:szCs w:val="21"/>
        </w:rPr>
        <w:t>经过本科阶段系统培养，本专业学生毕业时应达到如下要求：</w:t>
      </w:r>
    </w:p>
    <w:p>
      <w:pPr>
        <w:spacing w:line="360" w:lineRule="auto"/>
        <w:ind w:firstLine="422" w:firstLineChars="200"/>
        <w:rPr>
          <w:rFonts w:hint="eastAsia" w:ascii="宋体" w:hAnsi="宋体" w:cs="宋体"/>
          <w:b/>
          <w:bCs/>
          <w:szCs w:val="21"/>
        </w:rPr>
      </w:pPr>
      <w:r>
        <w:rPr>
          <w:rFonts w:hint="eastAsia" w:ascii="宋体" w:hAnsi="宋体" w:cs="宋体"/>
          <w:b/>
          <w:bCs/>
          <w:szCs w:val="21"/>
        </w:rPr>
        <w:t>1.【知识要求】</w:t>
      </w:r>
    </w:p>
    <w:p>
      <w:pPr>
        <w:spacing w:line="360" w:lineRule="auto"/>
        <w:ind w:firstLine="422" w:firstLineChars="200"/>
        <w:rPr>
          <w:rFonts w:hint="eastAsia" w:ascii="宋体" w:hAnsi="宋体" w:cs="宋体"/>
          <w:szCs w:val="21"/>
        </w:rPr>
      </w:pPr>
      <w:r>
        <w:rPr>
          <w:rFonts w:hint="eastAsia" w:ascii="宋体" w:hAnsi="宋体" w:cs="宋体"/>
          <w:b/>
          <w:bCs/>
          <w:szCs w:val="21"/>
        </w:rPr>
        <w:t>1.1数理与数字技术知识：</w:t>
      </w:r>
      <w:r>
        <w:rPr>
          <w:rFonts w:hint="eastAsia" w:ascii="宋体" w:hAnsi="宋体" w:cs="宋体"/>
          <w:szCs w:val="21"/>
        </w:rPr>
        <w:t xml:space="preserve">掌握本专业所需数学、统计学、计算机与现代信息技术基础理论与方法，熟悉数量分析、统计分析、数据处理、数据库应用与经济分析软件，具备数字技术应用基础。 </w:t>
      </w:r>
    </w:p>
    <w:p>
      <w:pPr>
        <w:spacing w:line="360" w:lineRule="auto"/>
        <w:ind w:firstLine="422" w:firstLineChars="200"/>
        <w:rPr>
          <w:rFonts w:hint="eastAsia" w:ascii="宋体" w:hAnsi="宋体" w:cs="宋体"/>
          <w:szCs w:val="21"/>
        </w:rPr>
      </w:pPr>
      <w:r>
        <w:rPr>
          <w:rFonts w:hint="eastAsia" w:ascii="宋体" w:hAnsi="宋体" w:cs="宋体"/>
          <w:b/>
          <w:bCs/>
          <w:szCs w:val="21"/>
        </w:rPr>
        <w:t>1.2专业基础知识：</w:t>
      </w:r>
      <w:r>
        <w:rPr>
          <w:rFonts w:hint="eastAsia" w:ascii="宋体" w:hAnsi="宋体" w:cs="宋体"/>
          <w:szCs w:val="21"/>
        </w:rPr>
        <w:t xml:space="preserve">具备经济学、数字经济、数据要素、平台经济、产业数字化、数字治理等核心理论与应用技能，理解数字经济运行规律与关键指标内在联系，形成尚人文、厚基础、宽交叉、强应用的知识结构。 </w:t>
      </w:r>
    </w:p>
    <w:p>
      <w:pPr>
        <w:spacing w:line="360" w:lineRule="auto"/>
        <w:ind w:firstLine="422" w:firstLineChars="200"/>
        <w:rPr>
          <w:rFonts w:hint="eastAsia" w:ascii="宋体" w:hAnsi="宋体" w:cs="宋体"/>
          <w:szCs w:val="21"/>
        </w:rPr>
      </w:pPr>
      <w:r>
        <w:rPr>
          <w:rFonts w:hint="eastAsia" w:ascii="宋体" w:hAnsi="宋体" w:cs="宋体"/>
          <w:b/>
          <w:bCs/>
          <w:szCs w:val="21"/>
        </w:rPr>
        <w:t>1.3专业前沿知识：</w:t>
      </w:r>
      <w:r>
        <w:rPr>
          <w:rFonts w:hint="eastAsia" w:ascii="宋体" w:hAnsi="宋体" w:cs="宋体"/>
          <w:szCs w:val="21"/>
        </w:rPr>
        <w:t xml:space="preserve">理解数字经济理论内涵、演进脉络与前沿动态，了解数字贸易、数据跨境、数字金融、人工智能与经济治理等领域新理论、新问题、新范式。 </w:t>
      </w:r>
    </w:p>
    <w:p>
      <w:pPr>
        <w:spacing w:line="360" w:lineRule="auto"/>
        <w:ind w:firstLine="422" w:firstLineChars="200"/>
        <w:rPr>
          <w:rFonts w:hint="eastAsia" w:ascii="宋体" w:hAnsi="宋体" w:cs="宋体"/>
          <w:szCs w:val="21"/>
        </w:rPr>
      </w:pPr>
      <w:r>
        <w:rPr>
          <w:rFonts w:hint="eastAsia" w:ascii="宋体" w:hAnsi="宋体" w:cs="宋体"/>
          <w:b/>
          <w:bCs/>
          <w:szCs w:val="21"/>
        </w:rPr>
        <w:t>1.4经济政策与法规知识：</w:t>
      </w:r>
      <w:r>
        <w:rPr>
          <w:rFonts w:hint="eastAsia" w:ascii="宋体" w:hAnsi="宋体" w:cs="宋体"/>
          <w:szCs w:val="21"/>
        </w:rPr>
        <w:t>熟悉国家数字经济发展战略、规划、政策与法律法规，了解国际数字经济规则、数据治理框架与数字贸易惯例，把握理论应用的政策环境与实践场景。</w:t>
      </w:r>
    </w:p>
    <w:p>
      <w:pPr>
        <w:spacing w:line="360" w:lineRule="auto"/>
        <w:ind w:firstLine="422" w:firstLineChars="200"/>
        <w:rPr>
          <w:rFonts w:hint="eastAsia" w:ascii="宋体" w:hAnsi="宋体" w:cs="宋体"/>
          <w:b/>
          <w:bCs/>
          <w:szCs w:val="21"/>
        </w:rPr>
      </w:pPr>
      <w:r>
        <w:rPr>
          <w:rFonts w:hint="eastAsia" w:ascii="宋体" w:hAnsi="宋体" w:cs="宋体"/>
          <w:b/>
          <w:bCs/>
          <w:szCs w:val="21"/>
        </w:rPr>
        <w:t>2.【能力要求】</w:t>
      </w:r>
    </w:p>
    <w:p>
      <w:pPr>
        <w:spacing w:line="360" w:lineRule="auto"/>
        <w:ind w:firstLine="422" w:firstLineChars="200"/>
        <w:rPr>
          <w:rFonts w:hint="eastAsia" w:ascii="宋体" w:hAnsi="宋体" w:cs="宋体"/>
          <w:szCs w:val="21"/>
        </w:rPr>
      </w:pPr>
      <w:r>
        <w:rPr>
          <w:rFonts w:hint="eastAsia" w:ascii="宋体" w:hAnsi="宋体" w:cs="宋体"/>
          <w:b/>
          <w:bCs/>
          <w:szCs w:val="21"/>
        </w:rPr>
        <w:t>2.1语言应用和沟通能力：</w:t>
      </w:r>
      <w:r>
        <w:rPr>
          <w:rFonts w:hint="eastAsia" w:ascii="宋体" w:hAnsi="宋体" w:cs="宋体"/>
          <w:szCs w:val="21"/>
        </w:rPr>
        <w:t xml:space="preserve">具备较强的英语听、说、读、写、译能力，能熟练阅读数字经济领域英文文献与专业资料，具备跨文化沟通与国际交流能力。 </w:t>
      </w:r>
    </w:p>
    <w:p>
      <w:pPr>
        <w:spacing w:line="360" w:lineRule="auto"/>
        <w:ind w:firstLine="422" w:firstLineChars="200"/>
        <w:rPr>
          <w:rFonts w:hint="eastAsia" w:ascii="宋体" w:hAnsi="宋体" w:cs="宋体"/>
          <w:szCs w:val="21"/>
        </w:rPr>
      </w:pPr>
      <w:r>
        <w:rPr>
          <w:rFonts w:hint="eastAsia" w:ascii="宋体" w:hAnsi="宋体" w:cs="宋体"/>
          <w:b/>
          <w:bCs/>
          <w:szCs w:val="21"/>
        </w:rPr>
        <w:t>2.2数字经济科研能力：</w:t>
      </w:r>
      <w:r>
        <w:rPr>
          <w:rFonts w:hint="eastAsia" w:ascii="宋体" w:hAnsi="宋体" w:cs="宋体"/>
          <w:szCs w:val="21"/>
        </w:rPr>
        <w:t xml:space="preserve">具备数字经济领域文献检索、数据采集与清洗、模型构建、实证分析、报告撰写等基础科研能力，能够运用专业数据库、数字分析工具开展基础性研究。 </w:t>
      </w:r>
    </w:p>
    <w:p>
      <w:pPr>
        <w:spacing w:line="360" w:lineRule="auto"/>
        <w:ind w:firstLine="422" w:firstLineChars="200"/>
        <w:rPr>
          <w:rFonts w:hint="eastAsia" w:ascii="宋体" w:hAnsi="宋体" w:cs="宋体"/>
          <w:szCs w:val="21"/>
        </w:rPr>
      </w:pPr>
      <w:r>
        <w:rPr>
          <w:rFonts w:hint="eastAsia" w:ascii="宋体" w:hAnsi="宋体" w:cs="宋体"/>
          <w:b/>
          <w:bCs/>
          <w:szCs w:val="21"/>
        </w:rPr>
        <w:t>2.3知识融合与应用能力：</w:t>
      </w:r>
      <w:r>
        <w:rPr>
          <w:rFonts w:hint="eastAsia" w:ascii="宋体" w:hAnsi="宋体" w:cs="宋体"/>
          <w:szCs w:val="21"/>
        </w:rPr>
        <w:t xml:space="preserve">具备自主学习、独立思考与知识迁移能力，能够融合经济学、管理学、数字技术等多学科知识，分析解决数字经济现实问题，实现理论与实践贯通。 </w:t>
      </w:r>
    </w:p>
    <w:p>
      <w:pPr>
        <w:spacing w:line="360" w:lineRule="auto"/>
        <w:ind w:firstLine="422" w:firstLineChars="200"/>
        <w:rPr>
          <w:rFonts w:hint="eastAsia" w:ascii="宋体" w:hAnsi="宋体" w:cs="宋体"/>
          <w:szCs w:val="21"/>
        </w:rPr>
      </w:pPr>
      <w:r>
        <w:rPr>
          <w:rFonts w:hint="eastAsia" w:ascii="宋体" w:hAnsi="宋体" w:cs="宋体"/>
          <w:b/>
          <w:bCs/>
          <w:szCs w:val="21"/>
        </w:rPr>
        <w:t>2.4创新创业与管理能力：</w:t>
      </w:r>
      <w:r>
        <w:rPr>
          <w:rFonts w:hint="eastAsia" w:ascii="宋体" w:hAnsi="宋体" w:cs="宋体"/>
          <w:szCs w:val="21"/>
        </w:rPr>
        <w:t>具备数字经济领域创新意识、创业素养与实践能力，熟悉数字创新创业流程；具备良好的表达沟通、团队协作、组织协调与项目管理能力。</w:t>
      </w:r>
    </w:p>
    <w:p>
      <w:pPr>
        <w:spacing w:line="360" w:lineRule="auto"/>
        <w:ind w:firstLine="422" w:firstLineChars="200"/>
        <w:rPr>
          <w:rFonts w:hint="eastAsia" w:ascii="宋体" w:hAnsi="宋体" w:cs="宋体"/>
          <w:b/>
          <w:bCs/>
          <w:szCs w:val="21"/>
        </w:rPr>
      </w:pPr>
      <w:r>
        <w:rPr>
          <w:rFonts w:hint="eastAsia" w:ascii="宋体" w:hAnsi="宋体" w:cs="宋体"/>
          <w:b/>
          <w:bCs/>
          <w:szCs w:val="21"/>
        </w:rPr>
        <w:t>3.【素质要求】</w:t>
      </w:r>
    </w:p>
    <w:p>
      <w:pPr>
        <w:spacing w:line="360" w:lineRule="auto"/>
        <w:ind w:firstLine="422" w:firstLineChars="200"/>
        <w:rPr>
          <w:rFonts w:hint="eastAsia" w:ascii="宋体" w:hAnsi="宋体" w:cs="宋体"/>
          <w:szCs w:val="21"/>
        </w:rPr>
      </w:pPr>
      <w:r>
        <w:rPr>
          <w:rFonts w:hint="eastAsia" w:ascii="宋体" w:hAnsi="宋体" w:cs="宋体"/>
          <w:b/>
          <w:bCs/>
          <w:szCs w:val="21"/>
        </w:rPr>
        <w:t>3.1思想道德素质：</w:t>
      </w:r>
      <w:r>
        <w:rPr>
          <w:rFonts w:hint="eastAsia" w:ascii="宋体" w:hAnsi="宋体" w:cs="宋体"/>
          <w:szCs w:val="21"/>
        </w:rPr>
        <w:t xml:space="preserve">具有坚定正确的政治方向和为人民服务的思想，树立正确的人生观、价值观与世界观，具备良好道德修养、职业操守、法治意识与社会责任感，弘扬敬业奉献、艰苦奋斗、团结协作精神。 </w:t>
      </w:r>
    </w:p>
    <w:p>
      <w:pPr>
        <w:spacing w:line="360" w:lineRule="auto"/>
        <w:ind w:firstLine="422" w:firstLineChars="200"/>
        <w:rPr>
          <w:rFonts w:hint="eastAsia" w:ascii="宋体" w:hAnsi="宋体" w:cs="宋体"/>
          <w:szCs w:val="21"/>
        </w:rPr>
      </w:pPr>
      <w:r>
        <w:rPr>
          <w:rFonts w:hint="eastAsia" w:ascii="宋体" w:hAnsi="宋体" w:cs="宋体"/>
          <w:b/>
          <w:bCs/>
          <w:szCs w:val="21"/>
        </w:rPr>
        <w:t>3.2身心发展素质：</w:t>
      </w:r>
      <w:r>
        <w:rPr>
          <w:rFonts w:hint="eastAsia" w:ascii="宋体" w:hAnsi="宋体" w:cs="宋体"/>
          <w:szCs w:val="21"/>
        </w:rPr>
        <w:t xml:space="preserve">具有健康体魄、良好心理素质与身心保健能力，具备较高文化品位与审美情趣，生活习惯良好，意志品质坚强，适应能力强，人格健全。 </w:t>
      </w:r>
    </w:p>
    <w:p>
      <w:pPr>
        <w:spacing w:line="360" w:lineRule="auto"/>
        <w:ind w:firstLine="422" w:firstLineChars="200"/>
        <w:rPr>
          <w:rFonts w:hint="eastAsia" w:ascii="宋体" w:hAnsi="宋体" w:cs="宋体"/>
          <w:b/>
          <w:bCs/>
          <w:szCs w:val="21"/>
        </w:rPr>
      </w:pPr>
      <w:r>
        <w:rPr>
          <w:rFonts w:hint="eastAsia" w:ascii="宋体" w:hAnsi="宋体" w:cs="宋体"/>
          <w:b/>
          <w:bCs/>
          <w:szCs w:val="21"/>
        </w:rPr>
        <w:t>3.3数字创新素质：</w:t>
      </w:r>
      <w:r>
        <w:rPr>
          <w:rFonts w:hint="eastAsia" w:ascii="宋体" w:hAnsi="宋体" w:cs="宋体"/>
          <w:szCs w:val="21"/>
        </w:rPr>
        <w:t>具备数据驱动思维、开拓创新意识与与时俱进理念，适应技术迭代与业态创新，具备勇于探索、善于创新的数字经济专业素养。</w:t>
      </w:r>
      <w:r>
        <w:rPr>
          <w:rFonts w:hint="eastAsia" w:ascii="宋体" w:hAnsi="宋体" w:cs="宋体"/>
          <w:b/>
          <w:bCs/>
          <w:szCs w:val="21"/>
        </w:rPr>
        <w:t xml:space="preserve"> </w:t>
      </w:r>
    </w:p>
    <w:p>
      <w:pPr>
        <w:spacing w:line="360" w:lineRule="auto"/>
        <w:ind w:firstLine="422" w:firstLineChars="200"/>
        <w:rPr>
          <w:rFonts w:hint="eastAsia" w:ascii="宋体" w:hAnsi="宋体" w:cs="宋体"/>
          <w:szCs w:val="21"/>
        </w:rPr>
      </w:pPr>
      <w:r>
        <w:rPr>
          <w:rFonts w:hint="eastAsia" w:ascii="宋体" w:hAnsi="宋体" w:cs="宋体"/>
          <w:b/>
          <w:bCs/>
          <w:szCs w:val="21"/>
        </w:rPr>
        <w:t>3.4职业竞争素质：</w:t>
      </w:r>
      <w:r>
        <w:rPr>
          <w:rFonts w:hint="eastAsia" w:ascii="宋体" w:hAnsi="宋体" w:cs="宋体"/>
          <w:szCs w:val="21"/>
        </w:rPr>
        <w:t>能够适应数字经济领域变革与岗位需求，善于从实践中发现问题与机遇，具备较强就业竞争力与职业发展潜力。</w:t>
      </w:r>
    </w:p>
    <w:p>
      <w:pPr>
        <w:spacing w:line="360" w:lineRule="auto"/>
        <w:ind w:firstLine="422" w:firstLineChars="200"/>
        <w:rPr>
          <w:rFonts w:hint="eastAsia" w:ascii="宋体" w:hAnsi="宋体" w:cs="宋体"/>
          <w:b/>
          <w:bCs/>
          <w:szCs w:val="21"/>
        </w:rPr>
      </w:pPr>
      <w:r>
        <w:rPr>
          <w:rFonts w:hint="eastAsia" w:ascii="宋体" w:hAnsi="宋体" w:cs="宋体"/>
          <w:b/>
          <w:bCs/>
          <w:szCs w:val="21"/>
        </w:rPr>
        <w:t>4.【实践要求】</w:t>
      </w:r>
    </w:p>
    <w:p>
      <w:pPr>
        <w:spacing w:line="360" w:lineRule="auto"/>
        <w:ind w:firstLine="422" w:firstLineChars="200"/>
        <w:rPr>
          <w:rFonts w:hint="eastAsia" w:ascii="宋体" w:hAnsi="宋体" w:cs="宋体"/>
          <w:szCs w:val="21"/>
        </w:rPr>
      </w:pPr>
      <w:r>
        <w:rPr>
          <w:rFonts w:hint="eastAsia" w:ascii="宋体" w:hAnsi="宋体" w:cs="宋体"/>
          <w:b/>
          <w:bCs/>
          <w:szCs w:val="21"/>
        </w:rPr>
        <w:t>4.1数字经济案例实践：</w:t>
      </w:r>
      <w:r>
        <w:rPr>
          <w:rFonts w:hint="eastAsia" w:ascii="宋体" w:hAnsi="宋体" w:cs="宋体"/>
          <w:szCs w:val="21"/>
        </w:rPr>
        <w:t xml:space="preserve">具备运用数字经济理论与分析方法开展案例分析、实证研究的能力，掌握数字经济调研、数据分析、方案设计与报告撰写技能。 </w:t>
      </w:r>
    </w:p>
    <w:p>
      <w:pPr>
        <w:spacing w:line="360" w:lineRule="auto"/>
        <w:ind w:firstLine="422" w:firstLineChars="200"/>
        <w:rPr>
          <w:rFonts w:hint="eastAsia" w:ascii="宋体" w:hAnsi="宋体" w:cs="宋体"/>
          <w:szCs w:val="21"/>
        </w:rPr>
      </w:pPr>
      <w:r>
        <w:rPr>
          <w:rFonts w:hint="eastAsia" w:ascii="宋体" w:hAnsi="宋体" w:cs="宋体"/>
          <w:b/>
          <w:bCs/>
          <w:szCs w:val="21"/>
        </w:rPr>
        <w:t>4.2行业实训实践：</w:t>
      </w:r>
      <w:r>
        <w:rPr>
          <w:rFonts w:hint="eastAsia" w:ascii="宋体" w:hAnsi="宋体" w:cs="宋体"/>
          <w:szCs w:val="21"/>
        </w:rPr>
        <w:t xml:space="preserve">按要求完成专业见习、专业实习等实践环节，熟悉数字产业、平台企业、政府部门与企事业单位数字化转型业务流程，具备行业数字经济分析与实践能力。 </w:t>
      </w:r>
    </w:p>
    <w:p>
      <w:pPr>
        <w:spacing w:line="360" w:lineRule="auto"/>
        <w:ind w:firstLine="422" w:firstLineChars="200"/>
        <w:rPr>
          <w:rFonts w:hint="eastAsia" w:ascii="宋体" w:hAnsi="宋体" w:cs="宋体"/>
          <w:szCs w:val="21"/>
        </w:rPr>
      </w:pPr>
      <w:r>
        <w:rPr>
          <w:rFonts w:hint="eastAsia" w:ascii="宋体" w:hAnsi="宋体" w:cs="宋体"/>
          <w:b/>
          <w:bCs/>
          <w:szCs w:val="21"/>
        </w:rPr>
        <w:t>4.3创新创业实践：</w:t>
      </w:r>
      <w:r>
        <w:rPr>
          <w:rFonts w:hint="eastAsia" w:ascii="宋体" w:hAnsi="宋体" w:cs="宋体"/>
          <w:szCs w:val="21"/>
        </w:rPr>
        <w:t xml:space="preserve">积极参与数字经济类创新项目、创业计划、学科竞赛与科研训练，具备撰写可行的数字经济创新创业与应用方案的能力。 </w:t>
      </w:r>
    </w:p>
    <w:p>
      <w:pPr>
        <w:spacing w:line="360" w:lineRule="auto"/>
        <w:ind w:firstLine="422" w:firstLineChars="200"/>
        <w:rPr>
          <w:rFonts w:hint="eastAsia" w:ascii="宋体" w:hAnsi="宋体" w:cs="宋体"/>
          <w:szCs w:val="21"/>
        </w:rPr>
      </w:pPr>
      <w:r>
        <w:rPr>
          <w:rFonts w:hint="eastAsia" w:ascii="宋体" w:hAnsi="宋体" w:cs="宋体"/>
          <w:b/>
          <w:bCs/>
          <w:szCs w:val="21"/>
        </w:rPr>
        <w:t>4.4社会服务实践：</w:t>
      </w:r>
      <w:r>
        <w:rPr>
          <w:rFonts w:hint="eastAsia" w:ascii="宋体" w:hAnsi="宋体" w:cs="宋体"/>
          <w:szCs w:val="21"/>
        </w:rPr>
        <w:t>参与数字乡村、数字社区、区域数字经济调研与政策咨询等社会服务活动，强化社会责任意识，提升用数字经济知识服务地方发展的能力。</w:t>
      </w:r>
    </w:p>
    <w:p>
      <w:pPr>
        <w:spacing w:line="360" w:lineRule="auto"/>
        <w:ind w:firstLine="422" w:firstLineChars="200"/>
        <w:rPr>
          <w:rFonts w:hint="eastAsia" w:ascii="宋体" w:hAnsi="宋体" w:cs="宋体"/>
          <w:b/>
          <w:bCs/>
          <w:szCs w:val="21"/>
        </w:rPr>
      </w:pPr>
      <w:r>
        <w:rPr>
          <w:rFonts w:hint="eastAsia" w:ascii="宋体" w:hAnsi="宋体" w:cs="宋体"/>
          <w:b/>
          <w:bCs/>
          <w:szCs w:val="21"/>
        </w:rPr>
        <w:t>5.【发展要求】</w:t>
      </w:r>
    </w:p>
    <w:p>
      <w:pPr>
        <w:spacing w:line="360" w:lineRule="auto"/>
        <w:ind w:firstLine="422" w:firstLineChars="200"/>
        <w:rPr>
          <w:rFonts w:hint="eastAsia" w:ascii="宋体" w:hAnsi="宋体" w:cs="宋体"/>
          <w:szCs w:val="21"/>
        </w:rPr>
      </w:pPr>
      <w:r>
        <w:rPr>
          <w:rFonts w:hint="eastAsia" w:ascii="宋体" w:hAnsi="宋体" w:cs="宋体"/>
          <w:b/>
          <w:bCs/>
          <w:szCs w:val="21"/>
        </w:rPr>
        <w:t>5.1学习持续发展：</w:t>
      </w:r>
      <w:r>
        <w:rPr>
          <w:rFonts w:hint="eastAsia" w:ascii="宋体" w:hAnsi="宋体" w:cs="宋体"/>
          <w:szCs w:val="21"/>
        </w:rPr>
        <w:t xml:space="preserve">养成跟踪数字经济前沿动态的学习习惯，具备自主学习、知识更新与跨界融合能力，适应技术与产业快速发展。 </w:t>
      </w:r>
    </w:p>
    <w:p>
      <w:pPr>
        <w:spacing w:line="360" w:lineRule="auto"/>
        <w:ind w:firstLine="422" w:firstLineChars="200"/>
        <w:rPr>
          <w:rFonts w:hint="eastAsia" w:ascii="宋体" w:hAnsi="宋体" w:cs="宋体"/>
          <w:szCs w:val="21"/>
        </w:rPr>
      </w:pPr>
      <w:r>
        <w:rPr>
          <w:rFonts w:hint="eastAsia" w:ascii="宋体" w:hAnsi="宋体" w:cs="宋体"/>
          <w:b/>
          <w:bCs/>
          <w:szCs w:val="21"/>
        </w:rPr>
        <w:t>5.2职业适应发展：</w:t>
      </w:r>
      <w:r>
        <w:rPr>
          <w:rFonts w:hint="eastAsia" w:ascii="宋体" w:hAnsi="宋体" w:cs="宋体"/>
          <w:szCs w:val="21"/>
        </w:rPr>
        <w:t xml:space="preserve">熟悉数字经济相关职业发展路径与岗位能力要求，能够制定个性化能力提升计划，具备长期职业适应与可持续发展能力。 </w:t>
      </w:r>
    </w:p>
    <w:p>
      <w:pPr>
        <w:spacing w:line="360" w:lineRule="auto"/>
        <w:ind w:firstLine="422" w:firstLineChars="200"/>
        <w:rPr>
          <w:rFonts w:hint="eastAsia" w:ascii="宋体" w:hAnsi="宋体" w:cs="宋体"/>
          <w:b/>
          <w:bCs/>
          <w:szCs w:val="21"/>
        </w:rPr>
      </w:pPr>
      <w:r>
        <w:rPr>
          <w:rFonts w:hint="eastAsia" w:ascii="宋体" w:hAnsi="宋体" w:cs="宋体"/>
          <w:b/>
          <w:bCs/>
          <w:szCs w:val="21"/>
        </w:rPr>
        <w:t>5.3国际视野发展：</w:t>
      </w:r>
      <w:r>
        <w:rPr>
          <w:rFonts w:hint="eastAsia" w:ascii="宋体" w:hAnsi="宋体" w:cs="宋体"/>
          <w:szCs w:val="21"/>
        </w:rPr>
        <w:t>熟悉国际数字经济规则、跨境数字贸易与全球数字产业格局，具备以全球视野分析数字经济问题、开展比较研究与国际合作的能力。</w:t>
      </w:r>
      <w:r>
        <w:rPr>
          <w:rFonts w:hint="eastAsia" w:ascii="宋体" w:hAnsi="宋体" w:cs="宋体"/>
          <w:b/>
          <w:bCs/>
          <w:szCs w:val="21"/>
        </w:rPr>
        <w:t xml:space="preserve"> </w:t>
      </w:r>
    </w:p>
    <w:p>
      <w:pPr>
        <w:spacing w:line="360" w:lineRule="auto"/>
        <w:ind w:firstLine="422" w:firstLineChars="200"/>
        <w:rPr>
          <w:rFonts w:hint="eastAsia" w:ascii="宋体" w:hAnsi="宋体" w:cs="宋体"/>
          <w:szCs w:val="21"/>
        </w:rPr>
      </w:pPr>
      <w:r>
        <w:rPr>
          <w:rFonts w:hint="eastAsia" w:ascii="宋体" w:hAnsi="宋体" w:cs="宋体"/>
          <w:b/>
          <w:bCs/>
          <w:szCs w:val="21"/>
        </w:rPr>
        <w:t>5.4领导潜力发展：</w:t>
      </w:r>
      <w:r>
        <w:rPr>
          <w:rFonts w:hint="eastAsia" w:ascii="宋体" w:hAnsi="宋体" w:cs="宋体"/>
          <w:szCs w:val="21"/>
        </w:rPr>
        <w:t>在团队项目、实践实训中提升组织协调、跨文化沟通与综合管理能力，具备团队带领、项目统筹与行业引领的发展潜力。</w:t>
      </w:r>
    </w:p>
    <w:p>
      <w:pPr>
        <w:spacing w:line="360" w:lineRule="auto"/>
        <w:ind w:firstLine="422" w:firstLineChars="200"/>
        <w:rPr>
          <w:rFonts w:hint="eastAsia" w:ascii="宋体" w:hAnsi="宋体" w:cs="宋体"/>
          <w:b/>
          <w:bCs/>
          <w:szCs w:val="21"/>
        </w:rPr>
      </w:pPr>
      <w:r>
        <w:rPr>
          <w:rFonts w:hint="eastAsia" w:ascii="宋体" w:hAnsi="宋体" w:cs="宋体"/>
          <w:b/>
          <w:bCs/>
          <w:szCs w:val="21"/>
        </w:rPr>
        <w:t>6.【伦理要求】</w:t>
      </w:r>
    </w:p>
    <w:p>
      <w:pPr>
        <w:spacing w:line="360" w:lineRule="auto"/>
        <w:ind w:firstLine="422" w:firstLineChars="200"/>
        <w:rPr>
          <w:rFonts w:hint="eastAsia" w:ascii="宋体" w:hAnsi="宋体" w:cs="宋体"/>
          <w:szCs w:val="21"/>
        </w:rPr>
      </w:pPr>
      <w:r>
        <w:rPr>
          <w:rFonts w:hint="eastAsia" w:ascii="宋体" w:hAnsi="宋体" w:cs="宋体"/>
          <w:b/>
          <w:bCs/>
          <w:szCs w:val="21"/>
        </w:rPr>
        <w:t>6.1数据伦理意识：</w:t>
      </w:r>
      <w:r>
        <w:rPr>
          <w:rFonts w:hint="eastAsia" w:ascii="宋体" w:hAnsi="宋体" w:cs="宋体"/>
          <w:szCs w:val="21"/>
        </w:rPr>
        <w:t xml:space="preserve">理解算法公平、数据正义、隐私保护等数字经济核心伦理原则，能够识别和反思数据采集、算法应用、商业模式创新中的伦理困境，具备伦理问题判断能力。 </w:t>
      </w:r>
    </w:p>
    <w:p>
      <w:pPr>
        <w:spacing w:line="360" w:lineRule="auto"/>
        <w:ind w:firstLine="422" w:firstLineChars="200"/>
        <w:rPr>
          <w:rFonts w:hint="eastAsia" w:ascii="宋体" w:hAnsi="宋体" w:cs="宋体"/>
          <w:szCs w:val="21"/>
        </w:rPr>
      </w:pPr>
      <w:r>
        <w:rPr>
          <w:rFonts w:hint="eastAsia" w:ascii="宋体" w:hAnsi="宋体" w:cs="宋体"/>
          <w:b/>
          <w:bCs/>
          <w:szCs w:val="21"/>
        </w:rPr>
        <w:t>6.2</w:t>
      </w:r>
      <w:r>
        <w:rPr>
          <w:rFonts w:ascii="宋体" w:hAnsi="宋体" w:cs="宋体"/>
          <w:b/>
          <w:bCs/>
          <w:szCs w:val="21"/>
        </w:rPr>
        <w:t>法律法规素养</w:t>
      </w:r>
      <w:r>
        <w:rPr>
          <w:rFonts w:hint="eastAsia" w:ascii="宋体" w:hAnsi="宋体" w:cs="宋体"/>
          <w:b/>
          <w:bCs/>
          <w:szCs w:val="21"/>
        </w:rPr>
        <w:t>：</w:t>
      </w:r>
      <w:r>
        <w:rPr>
          <w:rFonts w:ascii="宋体" w:hAnsi="宋体" w:cs="宋体"/>
          <w:szCs w:val="21"/>
        </w:rPr>
        <w:t>系统掌握数字经济领域</w:t>
      </w:r>
      <w:r>
        <w:rPr>
          <w:rFonts w:hint="eastAsia" w:ascii="宋体" w:hAnsi="宋体" w:cs="宋体"/>
          <w:szCs w:val="21"/>
        </w:rPr>
        <w:t>相关</w:t>
      </w:r>
      <w:r>
        <w:rPr>
          <w:rFonts w:ascii="宋体" w:hAnsi="宋体" w:cs="宋体"/>
          <w:szCs w:val="21"/>
        </w:rPr>
        <w:t>核心法律法规，熟悉数据要素市场化、数字贸易、数字金融等细分领域的监管规则，具备合规经营和法律风险识别防控能力。</w:t>
      </w:r>
      <w:r>
        <w:rPr>
          <w:rFonts w:hint="eastAsia" w:ascii="宋体" w:hAnsi="宋体" w:cs="宋体"/>
          <w:szCs w:val="21"/>
        </w:rPr>
        <w:t xml:space="preserve"> </w:t>
      </w:r>
    </w:p>
    <w:p>
      <w:pPr>
        <w:spacing w:line="360" w:lineRule="auto"/>
        <w:ind w:firstLine="422" w:firstLineChars="200"/>
        <w:rPr>
          <w:rFonts w:hint="eastAsia" w:ascii="宋体" w:hAnsi="宋体" w:cs="宋体"/>
          <w:b/>
          <w:bCs/>
          <w:szCs w:val="21"/>
        </w:rPr>
      </w:pPr>
      <w:r>
        <w:rPr>
          <w:rFonts w:hint="eastAsia" w:ascii="宋体" w:hAnsi="宋体" w:cs="宋体"/>
          <w:b/>
          <w:bCs/>
          <w:szCs w:val="21"/>
        </w:rPr>
        <w:t>6.3</w:t>
      </w:r>
      <w:r>
        <w:rPr>
          <w:rFonts w:ascii="宋体" w:hAnsi="宋体" w:cs="宋体"/>
          <w:b/>
          <w:bCs/>
          <w:szCs w:val="21"/>
        </w:rPr>
        <w:t>职业操守规范</w:t>
      </w:r>
      <w:r>
        <w:rPr>
          <w:rFonts w:hint="eastAsia" w:ascii="宋体" w:hAnsi="宋体" w:cs="宋体"/>
          <w:b/>
          <w:bCs/>
          <w:szCs w:val="21"/>
        </w:rPr>
        <w:t>：</w:t>
      </w:r>
      <w:r>
        <w:rPr>
          <w:rFonts w:hint="eastAsia" w:ascii="宋体" w:hAnsi="宋体" w:cs="宋体"/>
          <w:szCs w:val="21"/>
        </w:rPr>
        <w:t>具备</w:t>
      </w:r>
      <w:r>
        <w:rPr>
          <w:rFonts w:ascii="宋体" w:hAnsi="宋体" w:cs="宋体"/>
          <w:szCs w:val="21"/>
        </w:rPr>
        <w:t>严格遵守数字经济领域职业道德，严守数据安全底线，能够在商业利益与用户权益保护之间做出正确价值判断，杜绝非法获取、泄露、倒卖数据等行为。</w:t>
      </w:r>
      <w:r>
        <w:rPr>
          <w:rFonts w:hint="eastAsia" w:ascii="宋体" w:hAnsi="宋体" w:cs="宋体"/>
          <w:b/>
          <w:bCs/>
          <w:szCs w:val="21"/>
        </w:rPr>
        <w:t xml:space="preserve"> </w:t>
      </w:r>
    </w:p>
    <w:p>
      <w:pPr>
        <w:spacing w:line="360" w:lineRule="auto"/>
        <w:ind w:firstLine="422" w:firstLineChars="200"/>
        <w:rPr>
          <w:rFonts w:hint="eastAsia" w:ascii="宋体" w:hAnsi="宋体" w:cs="宋体"/>
          <w:szCs w:val="21"/>
        </w:rPr>
      </w:pPr>
      <w:r>
        <w:rPr>
          <w:rFonts w:hint="eastAsia" w:ascii="宋体" w:hAnsi="宋体" w:cs="宋体"/>
          <w:b/>
          <w:bCs/>
          <w:szCs w:val="21"/>
        </w:rPr>
        <w:t>6.4</w:t>
      </w:r>
      <w:r>
        <w:rPr>
          <w:rFonts w:ascii="宋体" w:hAnsi="宋体" w:cs="宋体"/>
          <w:b/>
          <w:bCs/>
          <w:szCs w:val="21"/>
        </w:rPr>
        <w:t>科技责任担当</w:t>
      </w:r>
      <w:r>
        <w:rPr>
          <w:rFonts w:hint="eastAsia" w:ascii="宋体" w:hAnsi="宋体" w:cs="宋体"/>
          <w:b/>
          <w:bCs/>
          <w:szCs w:val="21"/>
        </w:rPr>
        <w:t>：</w:t>
      </w:r>
      <w:r>
        <w:rPr>
          <w:rFonts w:ascii="宋体" w:hAnsi="宋体" w:cs="宋体"/>
          <w:szCs w:val="21"/>
        </w:rPr>
        <w:t>深刻理解数字技术对就业结构、收入分配的</w:t>
      </w:r>
      <w:r>
        <w:rPr>
          <w:rFonts w:hint="eastAsia" w:ascii="宋体" w:hAnsi="宋体" w:cs="宋体"/>
          <w:szCs w:val="21"/>
        </w:rPr>
        <w:t>多</w:t>
      </w:r>
      <w:r>
        <w:rPr>
          <w:rFonts w:ascii="宋体" w:hAnsi="宋体" w:cs="宋体"/>
          <w:szCs w:val="21"/>
        </w:rPr>
        <w:t>重影响，具备推动数字普惠、服务数字中国的社会责任感，能够在实践中平衡技术创新与公共利益。</w:t>
      </w:r>
    </w:p>
    <w:p>
      <w:pPr>
        <w:spacing w:line="360" w:lineRule="auto"/>
        <w:ind w:firstLine="420" w:firstLineChars="200"/>
        <w:rPr>
          <w:rFonts w:hint="eastAsia" w:ascii="宋体" w:hAnsi="宋体" w:cs="宋体"/>
          <w:szCs w:val="21"/>
        </w:rPr>
      </w:pPr>
    </w:p>
    <w:p>
      <w:pPr>
        <w:numPr>
          <w:ilvl w:val="0"/>
          <w:numId w:val="7"/>
        </w:numPr>
        <w:spacing w:line="360" w:lineRule="auto"/>
        <w:rPr>
          <w:rFonts w:hint="eastAsia" w:ascii="宋体" w:hAnsi="宋体" w:cs="宋体"/>
          <w:b/>
          <w:bCs/>
          <w:szCs w:val="21"/>
        </w:rPr>
      </w:pPr>
      <w:r>
        <w:rPr>
          <w:rFonts w:hint="eastAsia" w:ascii="宋体" w:hAnsi="宋体" w:cs="宋体"/>
          <w:b/>
          <w:bCs/>
          <w:szCs w:val="21"/>
        </w:rPr>
        <w:t>毕业要求对培养目标的支撑矩阵图</w:t>
      </w:r>
    </w:p>
    <w:tbl>
      <w:tblPr>
        <w:tblStyle w:val="40"/>
        <w:tblW w:w="9283" w:type="dxa"/>
        <w:tblInd w:w="-2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992"/>
        <w:gridCol w:w="3532"/>
        <w:gridCol w:w="796"/>
        <w:gridCol w:w="796"/>
        <w:gridCol w:w="796"/>
        <w:gridCol w:w="796"/>
        <w:gridCol w:w="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302" w:type="dxa"/>
            <w:gridSpan w:val="3"/>
            <w:vMerge w:val="restart"/>
            <w:vAlign w:val="center"/>
          </w:tcPr>
          <w:p>
            <w:pPr>
              <w:spacing w:line="360" w:lineRule="auto"/>
              <w:jc w:val="center"/>
              <w:rPr>
                <w:rFonts w:hint="eastAsia" w:ascii="宋体" w:hAnsi="宋体" w:cs="宋体"/>
                <w:b/>
                <w:szCs w:val="21"/>
              </w:rPr>
            </w:pPr>
            <w:r>
              <w:rPr>
                <w:rFonts w:hint="eastAsia" w:ascii="宋体" w:hAnsi="宋体" w:cs="宋体"/>
                <w:b/>
                <w:szCs w:val="21"/>
              </w:rPr>
              <w:t>毕业要求</w:t>
            </w:r>
          </w:p>
        </w:tc>
        <w:tc>
          <w:tcPr>
            <w:tcW w:w="796" w:type="dxa"/>
            <w:tcMar>
              <w:left w:w="0" w:type="dxa"/>
              <w:right w:w="0" w:type="dxa"/>
            </w:tcMar>
            <w:vAlign w:val="center"/>
          </w:tcPr>
          <w:p>
            <w:pPr>
              <w:spacing w:line="360" w:lineRule="auto"/>
              <w:jc w:val="center"/>
              <w:rPr>
                <w:rFonts w:hint="eastAsia" w:ascii="宋体" w:hAnsi="宋体" w:cs="宋体"/>
                <w:b/>
                <w:szCs w:val="21"/>
              </w:rPr>
            </w:pPr>
            <w:r>
              <w:rPr>
                <w:rFonts w:hint="eastAsia" w:ascii="宋体" w:hAnsi="宋体" w:cs="宋体"/>
                <w:b/>
                <w:szCs w:val="21"/>
              </w:rPr>
              <w:t>培养目标1</w:t>
            </w:r>
          </w:p>
        </w:tc>
        <w:tc>
          <w:tcPr>
            <w:tcW w:w="796" w:type="dxa"/>
            <w:tcMar>
              <w:left w:w="0" w:type="dxa"/>
              <w:right w:w="0" w:type="dxa"/>
            </w:tcMar>
            <w:vAlign w:val="center"/>
          </w:tcPr>
          <w:p>
            <w:pPr>
              <w:spacing w:line="360" w:lineRule="auto"/>
              <w:jc w:val="center"/>
              <w:rPr>
                <w:rFonts w:hint="eastAsia" w:ascii="宋体" w:hAnsi="宋体" w:cs="宋体"/>
                <w:b/>
                <w:szCs w:val="21"/>
              </w:rPr>
            </w:pPr>
            <w:r>
              <w:rPr>
                <w:rFonts w:hint="eastAsia" w:ascii="宋体" w:hAnsi="宋体" w:cs="宋体"/>
                <w:b/>
                <w:szCs w:val="21"/>
              </w:rPr>
              <w:t>培养目标2</w:t>
            </w:r>
          </w:p>
        </w:tc>
        <w:tc>
          <w:tcPr>
            <w:tcW w:w="796" w:type="dxa"/>
            <w:tcMar>
              <w:left w:w="0" w:type="dxa"/>
              <w:right w:w="0" w:type="dxa"/>
            </w:tcMar>
            <w:vAlign w:val="center"/>
          </w:tcPr>
          <w:p>
            <w:pPr>
              <w:spacing w:line="360" w:lineRule="auto"/>
              <w:jc w:val="center"/>
              <w:rPr>
                <w:rFonts w:hint="eastAsia" w:ascii="宋体" w:hAnsi="宋体" w:cs="宋体"/>
                <w:b/>
                <w:szCs w:val="21"/>
              </w:rPr>
            </w:pPr>
            <w:r>
              <w:rPr>
                <w:rFonts w:hint="eastAsia" w:ascii="宋体" w:hAnsi="宋体" w:cs="宋体"/>
                <w:b/>
                <w:szCs w:val="21"/>
              </w:rPr>
              <w:t>培养目标3</w:t>
            </w:r>
          </w:p>
        </w:tc>
        <w:tc>
          <w:tcPr>
            <w:tcW w:w="796" w:type="dxa"/>
            <w:tcMar>
              <w:left w:w="0" w:type="dxa"/>
              <w:right w:w="0" w:type="dxa"/>
            </w:tcMar>
            <w:vAlign w:val="center"/>
          </w:tcPr>
          <w:p>
            <w:pPr>
              <w:spacing w:line="360" w:lineRule="auto"/>
              <w:jc w:val="center"/>
              <w:rPr>
                <w:rFonts w:hint="eastAsia" w:ascii="宋体" w:hAnsi="宋体" w:cs="宋体"/>
                <w:b/>
                <w:szCs w:val="21"/>
              </w:rPr>
            </w:pPr>
            <w:r>
              <w:rPr>
                <w:rFonts w:hint="eastAsia" w:ascii="宋体" w:hAnsi="宋体" w:cs="宋体"/>
                <w:b/>
                <w:szCs w:val="21"/>
              </w:rPr>
              <w:t>培养目标4</w:t>
            </w:r>
          </w:p>
        </w:tc>
        <w:tc>
          <w:tcPr>
            <w:tcW w:w="797" w:type="dxa"/>
            <w:tcMar>
              <w:left w:w="0" w:type="dxa"/>
              <w:right w:w="0" w:type="dxa"/>
            </w:tcMar>
            <w:vAlign w:val="center"/>
          </w:tcPr>
          <w:p>
            <w:pPr>
              <w:spacing w:line="360" w:lineRule="auto"/>
              <w:jc w:val="center"/>
              <w:rPr>
                <w:rFonts w:hint="eastAsia" w:ascii="宋体" w:hAnsi="宋体" w:cs="宋体"/>
                <w:b/>
                <w:szCs w:val="21"/>
              </w:rPr>
            </w:pPr>
            <w:r>
              <w:rPr>
                <w:rFonts w:hint="eastAsia" w:ascii="宋体" w:hAnsi="宋体" w:cs="宋体"/>
                <w:b/>
                <w:szCs w:val="21"/>
              </w:rPr>
              <w:t>培养目标5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302" w:type="dxa"/>
            <w:gridSpan w:val="3"/>
            <w:vMerge w:val="continue"/>
            <w:vAlign w:val="center"/>
          </w:tcPr>
          <w:p>
            <w:pPr>
              <w:spacing w:line="360" w:lineRule="auto"/>
              <w:jc w:val="center"/>
              <w:rPr>
                <w:rFonts w:hint="eastAsia" w:ascii="宋体" w:hAnsi="宋体" w:cs="宋体"/>
                <w:b/>
                <w:bCs/>
                <w:szCs w:val="21"/>
              </w:rPr>
            </w:pPr>
          </w:p>
        </w:tc>
        <w:tc>
          <w:tcPr>
            <w:tcW w:w="796" w:type="dxa"/>
            <w:tcMar>
              <w:left w:w="0" w:type="dxa"/>
              <w:right w:w="0" w:type="dxa"/>
            </w:tcMar>
            <w:vAlign w:val="center"/>
          </w:tcPr>
          <w:p>
            <w:pPr>
              <w:spacing w:line="360" w:lineRule="auto"/>
              <w:jc w:val="center"/>
              <w:rPr>
                <w:rFonts w:hint="eastAsia" w:ascii="宋体" w:hAnsi="宋体" w:cs="宋体"/>
                <w:b/>
                <w:szCs w:val="21"/>
              </w:rPr>
            </w:pPr>
            <w:r>
              <w:rPr>
                <w:rFonts w:ascii="宋体" w:hAnsi="宋体" w:cs="宋体"/>
                <w:b/>
                <w:bCs/>
                <w:szCs w:val="21"/>
              </w:rPr>
              <w:t>思想品德优良</w:t>
            </w:r>
          </w:p>
        </w:tc>
        <w:tc>
          <w:tcPr>
            <w:tcW w:w="796" w:type="dxa"/>
            <w:tcMar>
              <w:left w:w="0" w:type="dxa"/>
              <w:right w:w="0" w:type="dxa"/>
            </w:tcMar>
            <w:vAlign w:val="center"/>
          </w:tcPr>
          <w:p>
            <w:pPr>
              <w:spacing w:line="360" w:lineRule="auto"/>
              <w:jc w:val="center"/>
              <w:rPr>
                <w:rFonts w:hint="eastAsia" w:ascii="宋体" w:hAnsi="宋体" w:cs="宋体"/>
                <w:b/>
                <w:szCs w:val="21"/>
              </w:rPr>
            </w:pPr>
            <w:r>
              <w:rPr>
                <w:rFonts w:ascii="宋体" w:hAnsi="宋体" w:cs="宋体"/>
                <w:b/>
                <w:bCs/>
                <w:szCs w:val="21"/>
              </w:rPr>
              <w:t>专业知识扎实</w:t>
            </w:r>
          </w:p>
        </w:tc>
        <w:tc>
          <w:tcPr>
            <w:tcW w:w="796" w:type="dxa"/>
            <w:tcMar>
              <w:left w:w="0" w:type="dxa"/>
              <w:right w:w="0" w:type="dxa"/>
            </w:tcMar>
            <w:vAlign w:val="center"/>
          </w:tcPr>
          <w:p>
            <w:pPr>
              <w:spacing w:line="360" w:lineRule="auto"/>
              <w:jc w:val="center"/>
              <w:rPr>
                <w:rFonts w:hint="eastAsia" w:ascii="宋体" w:hAnsi="宋体" w:cs="宋体"/>
                <w:b/>
                <w:szCs w:val="21"/>
              </w:rPr>
            </w:pPr>
            <w:r>
              <w:rPr>
                <w:rFonts w:ascii="宋体" w:hAnsi="宋体" w:cs="宋体"/>
                <w:b/>
                <w:bCs/>
                <w:szCs w:val="21"/>
              </w:rPr>
              <w:t>知识应用自如</w:t>
            </w:r>
          </w:p>
        </w:tc>
        <w:tc>
          <w:tcPr>
            <w:tcW w:w="796" w:type="dxa"/>
            <w:tcMar>
              <w:left w:w="0" w:type="dxa"/>
              <w:right w:w="0" w:type="dxa"/>
            </w:tcMar>
            <w:vAlign w:val="center"/>
          </w:tcPr>
          <w:p>
            <w:pPr>
              <w:spacing w:line="360" w:lineRule="auto"/>
              <w:jc w:val="center"/>
              <w:rPr>
                <w:rFonts w:hint="eastAsia" w:ascii="宋体" w:hAnsi="宋体" w:cs="宋体"/>
                <w:b/>
                <w:szCs w:val="21"/>
              </w:rPr>
            </w:pPr>
            <w:r>
              <w:rPr>
                <w:rFonts w:ascii="宋体" w:hAnsi="宋体" w:cs="宋体"/>
                <w:b/>
                <w:bCs/>
                <w:szCs w:val="21"/>
              </w:rPr>
              <w:t>洞悉行业前沿</w:t>
            </w:r>
          </w:p>
        </w:tc>
        <w:tc>
          <w:tcPr>
            <w:tcW w:w="797" w:type="dxa"/>
            <w:tcMar>
              <w:left w:w="0" w:type="dxa"/>
              <w:right w:w="0" w:type="dxa"/>
            </w:tcMar>
            <w:vAlign w:val="center"/>
          </w:tcPr>
          <w:p>
            <w:pPr>
              <w:spacing w:line="360" w:lineRule="auto"/>
              <w:jc w:val="center"/>
              <w:rPr>
                <w:rFonts w:hint="eastAsia" w:ascii="宋体" w:hAnsi="宋体" w:cs="宋体"/>
                <w:b/>
                <w:szCs w:val="21"/>
              </w:rPr>
            </w:pPr>
            <w:r>
              <w:rPr>
                <w:rFonts w:ascii="宋体" w:hAnsi="宋体" w:cs="宋体"/>
                <w:b/>
                <w:bCs/>
                <w:szCs w:val="21"/>
              </w:rPr>
              <w:t>职业素养良好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8" w:type="dxa"/>
            <w:vMerge w:val="restart"/>
            <w:vAlign w:val="center"/>
          </w:tcPr>
          <w:p>
            <w:pPr>
              <w:spacing w:line="360" w:lineRule="auto"/>
              <w:jc w:val="center"/>
              <w:rPr>
                <w:rFonts w:hint="eastAsia" w:ascii="宋体" w:hAnsi="宋体" w:cs="宋体"/>
                <w:b/>
                <w:szCs w:val="21"/>
              </w:rPr>
            </w:pPr>
            <w:r>
              <w:rPr>
                <w:rFonts w:hint="eastAsia" w:ascii="宋体" w:hAnsi="宋体" w:cs="宋体"/>
                <w:b/>
                <w:szCs w:val="21"/>
              </w:rPr>
              <w:t>毕业要求1</w:t>
            </w:r>
          </w:p>
          <w:p>
            <w:pPr>
              <w:spacing w:line="360" w:lineRule="auto"/>
              <w:jc w:val="center"/>
              <w:rPr>
                <w:rFonts w:hint="eastAsia" w:ascii="宋体" w:hAnsi="宋体" w:cs="宋体"/>
                <w:b/>
                <w:szCs w:val="21"/>
              </w:rPr>
            </w:pPr>
            <w:r>
              <w:rPr>
                <w:rFonts w:hint="eastAsia" w:ascii="宋体" w:hAnsi="宋体" w:cs="宋体"/>
                <w:b/>
                <w:szCs w:val="21"/>
              </w:rPr>
              <w:t>【知识要求】</w:t>
            </w:r>
          </w:p>
        </w:tc>
        <w:tc>
          <w:tcPr>
            <w:tcW w:w="992" w:type="dxa"/>
            <w:vAlign w:val="center"/>
          </w:tcPr>
          <w:p>
            <w:pPr>
              <w:spacing w:line="360" w:lineRule="auto"/>
              <w:jc w:val="center"/>
              <w:rPr>
                <w:rFonts w:hint="eastAsia" w:ascii="宋体" w:hAnsi="宋体" w:cs="宋体"/>
                <w:szCs w:val="21"/>
              </w:rPr>
            </w:pPr>
            <w:r>
              <w:rPr>
                <w:rFonts w:hint="eastAsia" w:ascii="宋体" w:hAnsi="宋体" w:cs="宋体"/>
                <w:szCs w:val="21"/>
              </w:rPr>
              <w:t>1.1</w:t>
            </w:r>
            <w:r>
              <w:rPr>
                <w:rFonts w:ascii="宋体" w:hAnsi="宋体" w:cs="宋体"/>
                <w:szCs w:val="21"/>
              </w:rPr>
              <w:t>数理与数字技术知识</w:t>
            </w:r>
          </w:p>
        </w:tc>
        <w:tc>
          <w:tcPr>
            <w:tcW w:w="3532" w:type="dxa"/>
          </w:tcPr>
          <w:p>
            <w:pPr>
              <w:spacing w:line="360" w:lineRule="auto"/>
              <w:jc w:val="center"/>
              <w:rPr>
                <w:rFonts w:hint="eastAsia" w:ascii="宋体" w:hAnsi="宋体" w:cs="宋体"/>
                <w:szCs w:val="21"/>
              </w:rPr>
            </w:pPr>
            <w:r>
              <w:rPr>
                <w:rFonts w:hint="eastAsia" w:ascii="宋体" w:hAnsi="宋体" w:cs="宋体"/>
                <w:szCs w:val="21"/>
              </w:rPr>
              <w:t>掌握本专业所需数学、统计学、计算机与现代信息技术基础理论与方法，熟悉数量分析、统计分析、数据处理、数据库应用与经济分析软件，具备数字技术应用基础。</w:t>
            </w:r>
          </w:p>
        </w:tc>
        <w:tc>
          <w:tcPr>
            <w:tcW w:w="796" w:type="dxa"/>
            <w:vAlign w:val="center"/>
          </w:tcPr>
          <w:p>
            <w:pPr>
              <w:spacing w:line="360" w:lineRule="auto"/>
              <w:jc w:val="center"/>
              <w:rPr>
                <w:rFonts w:hint="eastAsia" w:ascii="宋体" w:hAnsi="宋体" w:cs="宋体"/>
                <w:szCs w:val="21"/>
              </w:rPr>
            </w:pP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7" w:type="dxa"/>
            <w:vAlign w:val="center"/>
          </w:tcPr>
          <w:p>
            <w:pPr>
              <w:spacing w:line="360" w:lineRule="auto"/>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8" w:type="dxa"/>
            <w:vMerge w:val="continue"/>
            <w:vAlign w:val="center"/>
          </w:tcPr>
          <w:p>
            <w:pPr>
              <w:spacing w:line="360" w:lineRule="auto"/>
              <w:rPr>
                <w:rFonts w:hint="eastAsia" w:ascii="宋体" w:hAnsi="宋体" w:cs="宋体"/>
                <w:b/>
                <w:szCs w:val="21"/>
              </w:rPr>
            </w:pPr>
          </w:p>
        </w:tc>
        <w:tc>
          <w:tcPr>
            <w:tcW w:w="992" w:type="dxa"/>
            <w:vAlign w:val="center"/>
          </w:tcPr>
          <w:p>
            <w:pPr>
              <w:spacing w:line="360" w:lineRule="auto"/>
              <w:jc w:val="center"/>
              <w:rPr>
                <w:rFonts w:hint="eastAsia" w:ascii="宋体" w:hAnsi="宋体" w:cs="宋体"/>
                <w:szCs w:val="21"/>
              </w:rPr>
            </w:pPr>
            <w:r>
              <w:rPr>
                <w:rFonts w:hint="eastAsia" w:ascii="宋体" w:hAnsi="宋体" w:cs="宋体"/>
                <w:szCs w:val="21"/>
              </w:rPr>
              <w:t>1.2专业基础知识</w:t>
            </w:r>
          </w:p>
        </w:tc>
        <w:tc>
          <w:tcPr>
            <w:tcW w:w="3532" w:type="dxa"/>
          </w:tcPr>
          <w:p>
            <w:pPr>
              <w:spacing w:line="360" w:lineRule="auto"/>
              <w:jc w:val="center"/>
              <w:rPr>
                <w:rFonts w:hint="eastAsia" w:ascii="宋体" w:hAnsi="宋体" w:cs="宋体"/>
                <w:szCs w:val="21"/>
              </w:rPr>
            </w:pPr>
            <w:r>
              <w:rPr>
                <w:rFonts w:hint="eastAsia" w:ascii="宋体" w:hAnsi="宋体" w:cs="宋体"/>
                <w:szCs w:val="21"/>
              </w:rPr>
              <w:t>理解数字经济运行规律与关键指标内在联系，形成尚人文、厚基础、宽交叉、强应用的知识结构。</w:t>
            </w:r>
          </w:p>
        </w:tc>
        <w:tc>
          <w:tcPr>
            <w:tcW w:w="796" w:type="dxa"/>
            <w:vAlign w:val="center"/>
          </w:tcPr>
          <w:p>
            <w:pPr>
              <w:spacing w:line="360" w:lineRule="auto"/>
              <w:jc w:val="center"/>
              <w:rPr>
                <w:rFonts w:hint="eastAsia" w:ascii="宋体" w:hAnsi="宋体" w:cs="宋体"/>
                <w:szCs w:val="21"/>
              </w:rPr>
            </w:pP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7" w:type="dxa"/>
            <w:vAlign w:val="center"/>
          </w:tcPr>
          <w:p>
            <w:pPr>
              <w:spacing w:line="360" w:lineRule="auto"/>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8" w:type="dxa"/>
            <w:vMerge w:val="continue"/>
            <w:vAlign w:val="center"/>
          </w:tcPr>
          <w:p>
            <w:pPr>
              <w:spacing w:line="360" w:lineRule="auto"/>
              <w:rPr>
                <w:rFonts w:hint="eastAsia" w:ascii="宋体" w:hAnsi="宋体" w:cs="宋体"/>
                <w:b/>
                <w:szCs w:val="21"/>
              </w:rPr>
            </w:pPr>
          </w:p>
        </w:tc>
        <w:tc>
          <w:tcPr>
            <w:tcW w:w="992" w:type="dxa"/>
            <w:vAlign w:val="center"/>
          </w:tcPr>
          <w:p>
            <w:pPr>
              <w:spacing w:line="360" w:lineRule="auto"/>
              <w:jc w:val="center"/>
              <w:rPr>
                <w:rFonts w:hint="eastAsia" w:ascii="宋体" w:hAnsi="宋体" w:cs="宋体"/>
                <w:szCs w:val="21"/>
              </w:rPr>
            </w:pPr>
            <w:r>
              <w:rPr>
                <w:rFonts w:hint="eastAsia" w:ascii="宋体" w:hAnsi="宋体" w:cs="宋体"/>
                <w:szCs w:val="21"/>
              </w:rPr>
              <w:t>1.3专业前沿知识</w:t>
            </w:r>
          </w:p>
        </w:tc>
        <w:tc>
          <w:tcPr>
            <w:tcW w:w="3532" w:type="dxa"/>
          </w:tcPr>
          <w:p>
            <w:pPr>
              <w:spacing w:line="360" w:lineRule="auto"/>
              <w:jc w:val="center"/>
              <w:rPr>
                <w:rFonts w:hint="eastAsia" w:ascii="宋体" w:hAnsi="宋体" w:cs="宋体"/>
                <w:szCs w:val="21"/>
              </w:rPr>
            </w:pPr>
            <w:r>
              <w:rPr>
                <w:rFonts w:hint="eastAsia" w:ascii="宋体" w:hAnsi="宋体" w:cs="宋体"/>
                <w:szCs w:val="21"/>
              </w:rPr>
              <w:t>了解数字贸易、数据跨境、数字金融、人工智能与经济治理等领域新理论、新问题、新范式。</w:t>
            </w:r>
          </w:p>
        </w:tc>
        <w:tc>
          <w:tcPr>
            <w:tcW w:w="796" w:type="dxa"/>
            <w:vAlign w:val="center"/>
          </w:tcPr>
          <w:p>
            <w:pPr>
              <w:spacing w:line="360" w:lineRule="auto"/>
              <w:jc w:val="center"/>
              <w:rPr>
                <w:rFonts w:hint="eastAsia" w:ascii="宋体" w:hAnsi="宋体" w:cs="宋体"/>
                <w:szCs w:val="21"/>
              </w:rPr>
            </w:pP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7" w:type="dxa"/>
            <w:vAlign w:val="center"/>
          </w:tcPr>
          <w:p>
            <w:pPr>
              <w:spacing w:line="360" w:lineRule="auto"/>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8" w:type="dxa"/>
            <w:vMerge w:val="continue"/>
            <w:vAlign w:val="center"/>
          </w:tcPr>
          <w:p>
            <w:pPr>
              <w:spacing w:line="360" w:lineRule="auto"/>
              <w:rPr>
                <w:rFonts w:hint="eastAsia" w:ascii="宋体" w:hAnsi="宋体" w:cs="宋体"/>
                <w:b/>
                <w:szCs w:val="21"/>
              </w:rPr>
            </w:pPr>
          </w:p>
        </w:tc>
        <w:tc>
          <w:tcPr>
            <w:tcW w:w="992" w:type="dxa"/>
            <w:vAlign w:val="center"/>
          </w:tcPr>
          <w:p>
            <w:pPr>
              <w:spacing w:line="360" w:lineRule="auto"/>
              <w:jc w:val="center"/>
              <w:rPr>
                <w:rFonts w:hint="eastAsia" w:ascii="宋体" w:hAnsi="宋体" w:cs="宋体"/>
                <w:szCs w:val="21"/>
              </w:rPr>
            </w:pPr>
            <w:r>
              <w:rPr>
                <w:rFonts w:ascii="宋体" w:hAnsi="宋体" w:cs="宋体"/>
                <w:szCs w:val="21"/>
              </w:rPr>
              <w:t>1.4经济政策与法规知识</w:t>
            </w:r>
          </w:p>
        </w:tc>
        <w:tc>
          <w:tcPr>
            <w:tcW w:w="3532" w:type="dxa"/>
          </w:tcPr>
          <w:p>
            <w:pPr>
              <w:spacing w:line="360" w:lineRule="auto"/>
              <w:jc w:val="center"/>
              <w:rPr>
                <w:rFonts w:hint="eastAsia" w:ascii="宋体" w:hAnsi="宋体" w:cs="宋体"/>
                <w:szCs w:val="21"/>
              </w:rPr>
            </w:pPr>
            <w:r>
              <w:rPr>
                <w:rFonts w:hint="eastAsia" w:ascii="宋体" w:hAnsi="宋体" w:cs="宋体"/>
                <w:szCs w:val="21"/>
              </w:rPr>
              <w:t>了解国际数字经济规则、数据治理框架与数字贸易惯例，把握理论应用的政策环境与实践场景。</w:t>
            </w: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7" w:type="dxa"/>
            <w:vAlign w:val="center"/>
          </w:tcPr>
          <w:p>
            <w:pPr>
              <w:spacing w:line="360" w:lineRule="auto"/>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8" w:type="dxa"/>
            <w:vMerge w:val="restart"/>
            <w:vAlign w:val="center"/>
          </w:tcPr>
          <w:p>
            <w:pPr>
              <w:spacing w:line="360" w:lineRule="auto"/>
              <w:jc w:val="center"/>
              <w:rPr>
                <w:rFonts w:hint="eastAsia" w:ascii="宋体" w:hAnsi="宋体" w:cs="宋体"/>
                <w:b/>
                <w:szCs w:val="21"/>
              </w:rPr>
            </w:pPr>
            <w:r>
              <w:rPr>
                <w:rFonts w:hint="eastAsia" w:ascii="宋体" w:hAnsi="宋体" w:cs="宋体"/>
                <w:b/>
                <w:szCs w:val="21"/>
              </w:rPr>
              <w:t>毕业要求2</w:t>
            </w:r>
          </w:p>
          <w:p>
            <w:pPr>
              <w:spacing w:line="360" w:lineRule="auto"/>
              <w:jc w:val="center"/>
              <w:rPr>
                <w:rFonts w:hint="eastAsia" w:ascii="宋体" w:hAnsi="宋体" w:cs="宋体"/>
                <w:b/>
                <w:szCs w:val="21"/>
              </w:rPr>
            </w:pPr>
            <w:r>
              <w:rPr>
                <w:rFonts w:hint="eastAsia" w:ascii="宋体" w:hAnsi="宋体" w:cs="宋体"/>
                <w:b/>
                <w:szCs w:val="21"/>
              </w:rPr>
              <w:t>【能力要求】</w:t>
            </w:r>
          </w:p>
        </w:tc>
        <w:tc>
          <w:tcPr>
            <w:tcW w:w="992" w:type="dxa"/>
            <w:vAlign w:val="center"/>
          </w:tcPr>
          <w:p>
            <w:pPr>
              <w:spacing w:line="360" w:lineRule="auto"/>
              <w:jc w:val="center"/>
              <w:rPr>
                <w:rFonts w:hint="eastAsia" w:ascii="宋体" w:hAnsi="宋体" w:cs="宋体"/>
                <w:szCs w:val="21"/>
              </w:rPr>
            </w:pPr>
            <w:r>
              <w:rPr>
                <w:rFonts w:ascii="宋体" w:hAnsi="宋体" w:cs="宋体"/>
                <w:szCs w:val="21"/>
              </w:rPr>
              <w:t>2.1语言应用和沟通能力</w:t>
            </w:r>
          </w:p>
        </w:tc>
        <w:tc>
          <w:tcPr>
            <w:tcW w:w="3532" w:type="dxa"/>
          </w:tcPr>
          <w:p>
            <w:pPr>
              <w:spacing w:line="360" w:lineRule="auto"/>
              <w:jc w:val="center"/>
              <w:rPr>
                <w:rFonts w:hint="eastAsia" w:ascii="宋体" w:hAnsi="宋体" w:cs="宋体"/>
                <w:szCs w:val="21"/>
              </w:rPr>
            </w:pPr>
            <w:r>
              <w:rPr>
                <w:rFonts w:hint="eastAsia" w:ascii="宋体" w:hAnsi="宋体" w:cs="宋体"/>
                <w:szCs w:val="21"/>
              </w:rPr>
              <w:t>具备较强的英语听、说、读、写、译能力，能熟练阅读数字经济领域英文文献与专业资料，具备跨文化沟通与国际交流能力。</w:t>
            </w: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p>
        </w:tc>
        <w:tc>
          <w:tcPr>
            <w:tcW w:w="797" w:type="dxa"/>
            <w:vAlign w:val="center"/>
          </w:tcPr>
          <w:p>
            <w:pPr>
              <w:spacing w:line="360" w:lineRule="auto"/>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8" w:type="dxa"/>
            <w:vMerge w:val="continue"/>
            <w:vAlign w:val="center"/>
          </w:tcPr>
          <w:p>
            <w:pPr>
              <w:spacing w:line="360" w:lineRule="auto"/>
              <w:rPr>
                <w:rFonts w:hint="eastAsia" w:ascii="宋体" w:hAnsi="宋体" w:cs="宋体"/>
                <w:b/>
                <w:szCs w:val="21"/>
              </w:rPr>
            </w:pPr>
          </w:p>
        </w:tc>
        <w:tc>
          <w:tcPr>
            <w:tcW w:w="992" w:type="dxa"/>
            <w:vAlign w:val="center"/>
          </w:tcPr>
          <w:p>
            <w:pPr>
              <w:spacing w:line="360" w:lineRule="auto"/>
              <w:jc w:val="center"/>
              <w:rPr>
                <w:rFonts w:hint="eastAsia" w:ascii="宋体" w:hAnsi="宋体" w:cs="宋体"/>
                <w:szCs w:val="21"/>
              </w:rPr>
            </w:pPr>
            <w:r>
              <w:rPr>
                <w:rFonts w:ascii="宋体" w:hAnsi="宋体" w:cs="宋体"/>
                <w:szCs w:val="21"/>
              </w:rPr>
              <w:t>2.2数字经济科研能力</w:t>
            </w:r>
          </w:p>
        </w:tc>
        <w:tc>
          <w:tcPr>
            <w:tcW w:w="3532" w:type="dxa"/>
          </w:tcPr>
          <w:p>
            <w:pPr>
              <w:spacing w:line="360" w:lineRule="auto"/>
              <w:jc w:val="center"/>
              <w:rPr>
                <w:rFonts w:hint="eastAsia" w:ascii="宋体" w:hAnsi="宋体" w:cs="宋体"/>
                <w:szCs w:val="21"/>
              </w:rPr>
            </w:pPr>
            <w:r>
              <w:rPr>
                <w:rFonts w:hint="eastAsia" w:ascii="宋体" w:hAnsi="宋体" w:cs="宋体"/>
                <w:szCs w:val="21"/>
              </w:rPr>
              <w:t>具备数字经济领域文献检索、数据采集与清洗、模型构建、实证分析、报告撰写等基础科研能力。</w:t>
            </w:r>
          </w:p>
        </w:tc>
        <w:tc>
          <w:tcPr>
            <w:tcW w:w="796" w:type="dxa"/>
            <w:vAlign w:val="center"/>
          </w:tcPr>
          <w:p>
            <w:pPr>
              <w:spacing w:line="360" w:lineRule="auto"/>
              <w:jc w:val="center"/>
              <w:rPr>
                <w:rFonts w:hint="eastAsia" w:ascii="宋体" w:hAnsi="宋体" w:cs="宋体"/>
                <w:szCs w:val="21"/>
              </w:rPr>
            </w:pP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7" w:type="dxa"/>
            <w:vAlign w:val="center"/>
          </w:tcPr>
          <w:p>
            <w:pPr>
              <w:spacing w:line="360" w:lineRule="auto"/>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8" w:type="dxa"/>
            <w:vMerge w:val="continue"/>
            <w:vAlign w:val="center"/>
          </w:tcPr>
          <w:p>
            <w:pPr>
              <w:spacing w:line="360" w:lineRule="auto"/>
              <w:rPr>
                <w:rFonts w:hint="eastAsia" w:ascii="宋体" w:hAnsi="宋体" w:cs="宋体"/>
                <w:b/>
                <w:szCs w:val="21"/>
              </w:rPr>
            </w:pPr>
          </w:p>
        </w:tc>
        <w:tc>
          <w:tcPr>
            <w:tcW w:w="992" w:type="dxa"/>
            <w:vAlign w:val="center"/>
          </w:tcPr>
          <w:p>
            <w:pPr>
              <w:spacing w:line="360" w:lineRule="auto"/>
              <w:jc w:val="center"/>
              <w:rPr>
                <w:rFonts w:hint="eastAsia" w:ascii="宋体" w:hAnsi="宋体" w:cs="宋体"/>
                <w:szCs w:val="21"/>
              </w:rPr>
            </w:pPr>
            <w:r>
              <w:rPr>
                <w:rFonts w:ascii="宋体" w:hAnsi="宋体" w:cs="宋体"/>
                <w:szCs w:val="21"/>
              </w:rPr>
              <w:t>2.3知识融合与应用能力</w:t>
            </w:r>
          </w:p>
        </w:tc>
        <w:tc>
          <w:tcPr>
            <w:tcW w:w="3532" w:type="dxa"/>
          </w:tcPr>
          <w:p>
            <w:pPr>
              <w:spacing w:line="360" w:lineRule="auto"/>
              <w:jc w:val="center"/>
              <w:rPr>
                <w:rFonts w:hint="eastAsia" w:ascii="宋体" w:hAnsi="宋体" w:cs="宋体"/>
                <w:szCs w:val="21"/>
              </w:rPr>
            </w:pPr>
            <w:r>
              <w:rPr>
                <w:rFonts w:hint="eastAsia" w:ascii="宋体" w:hAnsi="宋体" w:cs="宋体"/>
                <w:szCs w:val="21"/>
              </w:rPr>
              <w:t>具备自主学习、独立思考与知识迁移能力，能够融合经济学、管理学、数字技术等多学科知识。</w:t>
            </w:r>
          </w:p>
        </w:tc>
        <w:tc>
          <w:tcPr>
            <w:tcW w:w="796" w:type="dxa"/>
            <w:vAlign w:val="center"/>
          </w:tcPr>
          <w:p>
            <w:pPr>
              <w:spacing w:line="360" w:lineRule="auto"/>
              <w:jc w:val="center"/>
              <w:rPr>
                <w:rFonts w:hint="eastAsia" w:ascii="宋体" w:hAnsi="宋体" w:cs="宋体"/>
                <w:szCs w:val="21"/>
              </w:rPr>
            </w:pP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7" w:type="dxa"/>
            <w:vAlign w:val="center"/>
          </w:tcPr>
          <w:p>
            <w:pPr>
              <w:spacing w:line="360" w:lineRule="auto"/>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8" w:type="dxa"/>
            <w:vMerge w:val="continue"/>
            <w:vAlign w:val="center"/>
          </w:tcPr>
          <w:p>
            <w:pPr>
              <w:spacing w:line="360" w:lineRule="auto"/>
              <w:rPr>
                <w:rFonts w:hint="eastAsia" w:ascii="宋体" w:hAnsi="宋体" w:cs="宋体"/>
                <w:b/>
                <w:szCs w:val="21"/>
              </w:rPr>
            </w:pPr>
          </w:p>
        </w:tc>
        <w:tc>
          <w:tcPr>
            <w:tcW w:w="992" w:type="dxa"/>
            <w:vAlign w:val="center"/>
          </w:tcPr>
          <w:p>
            <w:pPr>
              <w:spacing w:line="360" w:lineRule="auto"/>
              <w:jc w:val="center"/>
              <w:rPr>
                <w:rFonts w:hint="eastAsia" w:ascii="宋体" w:hAnsi="宋体" w:cs="宋体"/>
                <w:szCs w:val="21"/>
              </w:rPr>
            </w:pPr>
            <w:r>
              <w:rPr>
                <w:rFonts w:ascii="宋体" w:hAnsi="宋体" w:cs="宋体"/>
                <w:szCs w:val="21"/>
              </w:rPr>
              <w:t>2.4创新创业与管理能力</w:t>
            </w:r>
          </w:p>
        </w:tc>
        <w:tc>
          <w:tcPr>
            <w:tcW w:w="3532" w:type="dxa"/>
          </w:tcPr>
          <w:p>
            <w:pPr>
              <w:spacing w:line="360" w:lineRule="auto"/>
              <w:jc w:val="center"/>
              <w:rPr>
                <w:rFonts w:hint="eastAsia" w:ascii="宋体" w:hAnsi="宋体" w:cs="宋体"/>
                <w:szCs w:val="21"/>
              </w:rPr>
            </w:pPr>
            <w:r>
              <w:rPr>
                <w:rFonts w:hint="eastAsia" w:ascii="宋体" w:hAnsi="宋体" w:cs="宋体"/>
                <w:szCs w:val="21"/>
              </w:rPr>
              <w:t>具备数字经济领域创新意识、创业素养与实践能力，熟悉数字创新创业流程；具备良好的表达沟通、团队协作、组织协调与项目管理能力。</w:t>
            </w: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p>
        </w:tc>
        <w:tc>
          <w:tcPr>
            <w:tcW w:w="796" w:type="dxa"/>
            <w:vAlign w:val="center"/>
          </w:tcPr>
          <w:p>
            <w:pPr>
              <w:spacing w:line="360" w:lineRule="auto"/>
              <w:jc w:val="center"/>
              <w:rPr>
                <w:rFonts w:hint="eastAsia" w:ascii="宋体" w:hAnsi="宋体" w:cs="宋体"/>
                <w:szCs w:val="21"/>
              </w:rPr>
            </w:pPr>
          </w:p>
        </w:tc>
        <w:tc>
          <w:tcPr>
            <w:tcW w:w="796" w:type="dxa"/>
            <w:vAlign w:val="center"/>
          </w:tcPr>
          <w:p>
            <w:pPr>
              <w:spacing w:line="360" w:lineRule="auto"/>
              <w:jc w:val="center"/>
              <w:rPr>
                <w:rFonts w:hint="eastAsia" w:ascii="宋体" w:hAnsi="宋体" w:cs="宋体"/>
                <w:szCs w:val="21"/>
              </w:rPr>
            </w:pPr>
          </w:p>
        </w:tc>
        <w:tc>
          <w:tcPr>
            <w:tcW w:w="797" w:type="dxa"/>
            <w:vAlign w:val="center"/>
          </w:tcPr>
          <w:p>
            <w:pPr>
              <w:spacing w:line="360" w:lineRule="auto"/>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8" w:type="dxa"/>
            <w:vMerge w:val="restart"/>
            <w:vAlign w:val="center"/>
          </w:tcPr>
          <w:p>
            <w:pPr>
              <w:spacing w:line="360" w:lineRule="auto"/>
              <w:jc w:val="center"/>
              <w:rPr>
                <w:rFonts w:hint="eastAsia" w:ascii="宋体" w:hAnsi="宋体" w:cs="宋体"/>
                <w:b/>
                <w:szCs w:val="21"/>
              </w:rPr>
            </w:pPr>
            <w:r>
              <w:rPr>
                <w:rFonts w:hint="eastAsia" w:ascii="宋体" w:hAnsi="宋体" w:cs="宋体"/>
                <w:b/>
                <w:szCs w:val="21"/>
              </w:rPr>
              <w:t>毕业要求3</w:t>
            </w:r>
          </w:p>
          <w:p>
            <w:pPr>
              <w:spacing w:line="360" w:lineRule="auto"/>
              <w:jc w:val="center"/>
              <w:rPr>
                <w:rFonts w:hint="eastAsia" w:ascii="宋体" w:hAnsi="宋体" w:cs="宋体"/>
                <w:b/>
                <w:szCs w:val="21"/>
              </w:rPr>
            </w:pPr>
            <w:r>
              <w:rPr>
                <w:rFonts w:hint="eastAsia" w:ascii="宋体" w:hAnsi="宋体" w:cs="宋体"/>
                <w:b/>
                <w:szCs w:val="21"/>
              </w:rPr>
              <w:t>【素质要求】</w:t>
            </w:r>
          </w:p>
        </w:tc>
        <w:tc>
          <w:tcPr>
            <w:tcW w:w="992" w:type="dxa"/>
            <w:vAlign w:val="center"/>
          </w:tcPr>
          <w:p>
            <w:pPr>
              <w:spacing w:line="360" w:lineRule="auto"/>
              <w:jc w:val="center"/>
              <w:rPr>
                <w:rFonts w:hint="eastAsia" w:ascii="宋体" w:hAnsi="宋体" w:cs="宋体"/>
                <w:szCs w:val="21"/>
              </w:rPr>
            </w:pPr>
            <w:r>
              <w:rPr>
                <w:rFonts w:ascii="宋体" w:hAnsi="宋体" w:cs="宋体"/>
                <w:szCs w:val="21"/>
              </w:rPr>
              <w:t>3.1思想道德素质</w:t>
            </w:r>
          </w:p>
        </w:tc>
        <w:tc>
          <w:tcPr>
            <w:tcW w:w="3532" w:type="dxa"/>
          </w:tcPr>
          <w:p>
            <w:pPr>
              <w:spacing w:line="360" w:lineRule="auto"/>
              <w:jc w:val="center"/>
              <w:rPr>
                <w:rFonts w:hint="eastAsia" w:ascii="宋体" w:hAnsi="宋体" w:cs="宋体"/>
                <w:szCs w:val="21"/>
              </w:rPr>
            </w:pPr>
            <w:r>
              <w:rPr>
                <w:rFonts w:hint="eastAsia" w:ascii="宋体" w:hAnsi="宋体" w:cs="宋体"/>
                <w:szCs w:val="21"/>
              </w:rPr>
              <w:t>具有坚定正确的政治方向和为人民服务的思想，树立正确的人生观、价值观与世界观，具备良好道德修养、职业操守、法治意识与社会责任感。</w:t>
            </w: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7" w:type="dxa"/>
            <w:vAlign w:val="center"/>
          </w:tcPr>
          <w:p>
            <w:pPr>
              <w:spacing w:line="360" w:lineRule="auto"/>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8" w:type="dxa"/>
            <w:vMerge w:val="continue"/>
            <w:vAlign w:val="center"/>
          </w:tcPr>
          <w:p>
            <w:pPr>
              <w:spacing w:line="360" w:lineRule="auto"/>
              <w:rPr>
                <w:rFonts w:hint="eastAsia" w:ascii="宋体" w:hAnsi="宋体" w:cs="宋体"/>
                <w:b/>
                <w:szCs w:val="21"/>
              </w:rPr>
            </w:pPr>
          </w:p>
        </w:tc>
        <w:tc>
          <w:tcPr>
            <w:tcW w:w="992" w:type="dxa"/>
            <w:vAlign w:val="center"/>
          </w:tcPr>
          <w:p>
            <w:pPr>
              <w:spacing w:line="360" w:lineRule="auto"/>
              <w:jc w:val="center"/>
              <w:rPr>
                <w:rFonts w:hint="eastAsia" w:ascii="宋体" w:hAnsi="宋体" w:cs="宋体"/>
                <w:szCs w:val="21"/>
              </w:rPr>
            </w:pPr>
            <w:r>
              <w:rPr>
                <w:rFonts w:ascii="宋体" w:hAnsi="宋体" w:cs="宋体"/>
                <w:szCs w:val="21"/>
              </w:rPr>
              <w:t>3.2身心发展素质</w:t>
            </w:r>
          </w:p>
        </w:tc>
        <w:tc>
          <w:tcPr>
            <w:tcW w:w="3532" w:type="dxa"/>
          </w:tcPr>
          <w:p>
            <w:pPr>
              <w:spacing w:line="360" w:lineRule="auto"/>
              <w:jc w:val="center"/>
              <w:rPr>
                <w:rFonts w:hint="eastAsia" w:ascii="宋体" w:hAnsi="宋体" w:cs="宋体"/>
                <w:szCs w:val="21"/>
              </w:rPr>
            </w:pPr>
            <w:r>
              <w:rPr>
                <w:rFonts w:hint="eastAsia" w:ascii="宋体" w:hAnsi="宋体" w:cs="宋体"/>
                <w:szCs w:val="21"/>
              </w:rPr>
              <w:t>具有健康体魄、良好心理素质与身心保健能力，具备较高文化品位与审美情趣，生活习惯良好，意志品质坚强，适应能力强，人格健全。</w:t>
            </w: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p>
        </w:tc>
        <w:tc>
          <w:tcPr>
            <w:tcW w:w="797" w:type="dxa"/>
            <w:vAlign w:val="center"/>
          </w:tcPr>
          <w:p>
            <w:pPr>
              <w:spacing w:line="360" w:lineRule="auto"/>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8" w:type="dxa"/>
            <w:vMerge w:val="continue"/>
            <w:vAlign w:val="center"/>
          </w:tcPr>
          <w:p>
            <w:pPr>
              <w:spacing w:line="360" w:lineRule="auto"/>
              <w:rPr>
                <w:rFonts w:hint="eastAsia" w:ascii="宋体" w:hAnsi="宋体" w:cs="宋体"/>
                <w:b/>
                <w:szCs w:val="21"/>
              </w:rPr>
            </w:pPr>
          </w:p>
        </w:tc>
        <w:tc>
          <w:tcPr>
            <w:tcW w:w="992" w:type="dxa"/>
            <w:vAlign w:val="center"/>
          </w:tcPr>
          <w:p>
            <w:pPr>
              <w:spacing w:line="360" w:lineRule="auto"/>
              <w:jc w:val="center"/>
              <w:rPr>
                <w:rFonts w:hint="eastAsia" w:ascii="宋体" w:hAnsi="宋体" w:cs="宋体"/>
                <w:szCs w:val="21"/>
              </w:rPr>
            </w:pPr>
            <w:r>
              <w:rPr>
                <w:rFonts w:ascii="宋体" w:hAnsi="宋体" w:cs="宋体"/>
                <w:szCs w:val="21"/>
              </w:rPr>
              <w:t>3.3数字创新素质</w:t>
            </w:r>
          </w:p>
        </w:tc>
        <w:tc>
          <w:tcPr>
            <w:tcW w:w="3532" w:type="dxa"/>
          </w:tcPr>
          <w:p>
            <w:pPr>
              <w:spacing w:line="360" w:lineRule="auto"/>
              <w:jc w:val="center"/>
              <w:rPr>
                <w:rFonts w:hint="eastAsia" w:ascii="宋体" w:hAnsi="宋体" w:cs="宋体"/>
                <w:szCs w:val="21"/>
              </w:rPr>
            </w:pPr>
            <w:r>
              <w:rPr>
                <w:rFonts w:hint="eastAsia" w:ascii="宋体" w:hAnsi="宋体" w:cs="宋体"/>
                <w:szCs w:val="21"/>
              </w:rPr>
              <w:t>具备数据驱动思维、开拓创新意识与与时俱进理念，适应技术迭代与业态创新，具备勇于探索、善于创新的数字经济专业素养。</w:t>
            </w: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p>
        </w:tc>
        <w:tc>
          <w:tcPr>
            <w:tcW w:w="797" w:type="dxa"/>
            <w:vAlign w:val="center"/>
          </w:tcPr>
          <w:p>
            <w:pPr>
              <w:spacing w:line="360" w:lineRule="auto"/>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8" w:type="dxa"/>
            <w:vMerge w:val="continue"/>
            <w:vAlign w:val="center"/>
          </w:tcPr>
          <w:p>
            <w:pPr>
              <w:spacing w:line="360" w:lineRule="auto"/>
              <w:rPr>
                <w:rFonts w:hint="eastAsia" w:ascii="宋体" w:hAnsi="宋体" w:cs="宋体"/>
                <w:b/>
                <w:szCs w:val="21"/>
              </w:rPr>
            </w:pPr>
          </w:p>
        </w:tc>
        <w:tc>
          <w:tcPr>
            <w:tcW w:w="992" w:type="dxa"/>
            <w:vAlign w:val="center"/>
          </w:tcPr>
          <w:p>
            <w:pPr>
              <w:spacing w:line="360" w:lineRule="auto"/>
              <w:jc w:val="center"/>
              <w:rPr>
                <w:rFonts w:hint="eastAsia" w:ascii="宋体" w:hAnsi="宋体" w:cs="宋体"/>
                <w:szCs w:val="21"/>
              </w:rPr>
            </w:pPr>
            <w:r>
              <w:rPr>
                <w:rFonts w:ascii="宋体" w:hAnsi="宋体" w:cs="宋体"/>
                <w:szCs w:val="21"/>
              </w:rPr>
              <w:t>3.4职业竞争素质</w:t>
            </w:r>
          </w:p>
        </w:tc>
        <w:tc>
          <w:tcPr>
            <w:tcW w:w="3532" w:type="dxa"/>
          </w:tcPr>
          <w:p>
            <w:pPr>
              <w:spacing w:line="360" w:lineRule="auto"/>
              <w:jc w:val="center"/>
              <w:rPr>
                <w:rFonts w:hint="eastAsia" w:ascii="宋体" w:hAnsi="宋体" w:cs="宋体"/>
                <w:szCs w:val="21"/>
              </w:rPr>
            </w:pPr>
            <w:r>
              <w:rPr>
                <w:rFonts w:hint="eastAsia" w:ascii="宋体" w:hAnsi="宋体" w:cs="宋体"/>
                <w:szCs w:val="21"/>
              </w:rPr>
              <w:t>能够适应数字经济领域变革与岗位需求，善于从实践中发现问题与机遇，具备较强就业竞争力与职业发展潜力。</w:t>
            </w: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7" w:type="dxa"/>
            <w:vAlign w:val="center"/>
          </w:tcPr>
          <w:p>
            <w:pPr>
              <w:spacing w:line="360" w:lineRule="auto"/>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8" w:type="dxa"/>
            <w:vMerge w:val="restart"/>
            <w:vAlign w:val="center"/>
          </w:tcPr>
          <w:p>
            <w:pPr>
              <w:spacing w:line="360" w:lineRule="auto"/>
              <w:jc w:val="center"/>
              <w:rPr>
                <w:rFonts w:hint="eastAsia" w:ascii="宋体" w:hAnsi="宋体" w:cs="宋体"/>
                <w:b/>
                <w:szCs w:val="21"/>
              </w:rPr>
            </w:pPr>
            <w:r>
              <w:rPr>
                <w:rFonts w:hint="eastAsia" w:ascii="宋体" w:hAnsi="宋体" w:cs="宋体"/>
                <w:b/>
                <w:szCs w:val="21"/>
              </w:rPr>
              <w:t>毕业要求4</w:t>
            </w:r>
          </w:p>
          <w:p>
            <w:pPr>
              <w:spacing w:line="360" w:lineRule="auto"/>
              <w:rPr>
                <w:rFonts w:hint="eastAsia" w:ascii="宋体" w:hAnsi="宋体" w:cs="宋体"/>
                <w:b/>
                <w:szCs w:val="21"/>
              </w:rPr>
            </w:pPr>
            <w:r>
              <w:rPr>
                <w:rFonts w:hint="eastAsia" w:ascii="宋体" w:hAnsi="宋体" w:cs="宋体"/>
                <w:b/>
                <w:szCs w:val="21"/>
              </w:rPr>
              <w:t>【实践要求】</w:t>
            </w:r>
          </w:p>
        </w:tc>
        <w:tc>
          <w:tcPr>
            <w:tcW w:w="992" w:type="dxa"/>
            <w:vAlign w:val="center"/>
          </w:tcPr>
          <w:p>
            <w:pPr>
              <w:spacing w:line="360" w:lineRule="auto"/>
              <w:jc w:val="center"/>
              <w:rPr>
                <w:rFonts w:hint="eastAsia" w:ascii="宋体" w:hAnsi="宋体" w:cs="宋体"/>
                <w:szCs w:val="21"/>
              </w:rPr>
            </w:pPr>
            <w:r>
              <w:rPr>
                <w:rFonts w:ascii="宋体" w:hAnsi="宋体" w:cs="宋体"/>
                <w:szCs w:val="21"/>
              </w:rPr>
              <w:t>4.1数字经济案例实践</w:t>
            </w:r>
          </w:p>
        </w:tc>
        <w:tc>
          <w:tcPr>
            <w:tcW w:w="3532" w:type="dxa"/>
          </w:tcPr>
          <w:p>
            <w:pPr>
              <w:spacing w:line="360" w:lineRule="auto"/>
              <w:jc w:val="center"/>
              <w:rPr>
                <w:rFonts w:hint="eastAsia" w:ascii="宋体" w:hAnsi="宋体" w:cs="宋体"/>
                <w:szCs w:val="21"/>
              </w:rPr>
            </w:pPr>
            <w:r>
              <w:rPr>
                <w:rFonts w:hint="eastAsia" w:ascii="宋体" w:hAnsi="宋体" w:cs="宋体"/>
                <w:szCs w:val="21"/>
              </w:rPr>
              <w:t>具备运用数字经济理论与分析方法开展案例分析、实证研究的能力，掌握数字经济调研、数据分析、方案设计与报告撰写技能。</w:t>
            </w:r>
          </w:p>
        </w:tc>
        <w:tc>
          <w:tcPr>
            <w:tcW w:w="796" w:type="dxa"/>
            <w:vAlign w:val="center"/>
          </w:tcPr>
          <w:p>
            <w:pPr>
              <w:spacing w:line="360" w:lineRule="auto"/>
              <w:jc w:val="center"/>
              <w:rPr>
                <w:rFonts w:hint="eastAsia" w:ascii="宋体" w:hAnsi="宋体" w:cs="宋体"/>
                <w:szCs w:val="21"/>
              </w:rPr>
            </w:pP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7" w:type="dxa"/>
            <w:vAlign w:val="center"/>
          </w:tcPr>
          <w:p>
            <w:pPr>
              <w:spacing w:line="360" w:lineRule="auto"/>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8" w:type="dxa"/>
            <w:vMerge w:val="continue"/>
            <w:vAlign w:val="center"/>
          </w:tcPr>
          <w:p>
            <w:pPr>
              <w:spacing w:line="360" w:lineRule="auto"/>
              <w:rPr>
                <w:rFonts w:hint="eastAsia" w:ascii="宋体" w:hAnsi="宋体" w:cs="宋体"/>
                <w:b/>
                <w:szCs w:val="21"/>
              </w:rPr>
            </w:pPr>
          </w:p>
        </w:tc>
        <w:tc>
          <w:tcPr>
            <w:tcW w:w="992" w:type="dxa"/>
            <w:vAlign w:val="center"/>
          </w:tcPr>
          <w:p>
            <w:pPr>
              <w:spacing w:line="360" w:lineRule="auto"/>
              <w:jc w:val="center"/>
              <w:rPr>
                <w:rFonts w:hint="eastAsia" w:ascii="宋体" w:hAnsi="宋体" w:cs="宋体"/>
                <w:szCs w:val="21"/>
              </w:rPr>
            </w:pPr>
            <w:r>
              <w:rPr>
                <w:rFonts w:ascii="宋体" w:hAnsi="宋体" w:cs="宋体"/>
                <w:szCs w:val="21"/>
              </w:rPr>
              <w:t>4.2行业实训实践</w:t>
            </w:r>
          </w:p>
        </w:tc>
        <w:tc>
          <w:tcPr>
            <w:tcW w:w="3532" w:type="dxa"/>
          </w:tcPr>
          <w:p>
            <w:pPr>
              <w:spacing w:line="360" w:lineRule="auto"/>
              <w:jc w:val="center"/>
              <w:rPr>
                <w:rFonts w:hint="eastAsia" w:ascii="宋体" w:hAnsi="宋体" w:cs="宋体"/>
                <w:szCs w:val="21"/>
              </w:rPr>
            </w:pPr>
            <w:r>
              <w:rPr>
                <w:rFonts w:hint="eastAsia" w:ascii="宋体" w:hAnsi="宋体" w:cs="宋体"/>
                <w:szCs w:val="21"/>
              </w:rPr>
              <w:t>熟悉数字产业、平台企业、政府部门与企事业单位数字化转型业务流程，具备行业数字经济分析与实践能力。</w:t>
            </w:r>
          </w:p>
        </w:tc>
        <w:tc>
          <w:tcPr>
            <w:tcW w:w="796" w:type="dxa"/>
            <w:vAlign w:val="center"/>
          </w:tcPr>
          <w:p>
            <w:pPr>
              <w:spacing w:line="360" w:lineRule="auto"/>
              <w:jc w:val="center"/>
              <w:rPr>
                <w:rFonts w:hint="eastAsia" w:ascii="宋体" w:hAnsi="宋体" w:cs="宋体"/>
                <w:szCs w:val="21"/>
              </w:rPr>
            </w:pP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7" w:type="dxa"/>
            <w:vAlign w:val="center"/>
          </w:tcPr>
          <w:p>
            <w:pPr>
              <w:spacing w:line="360" w:lineRule="auto"/>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8" w:type="dxa"/>
            <w:vMerge w:val="continue"/>
            <w:vAlign w:val="center"/>
          </w:tcPr>
          <w:p>
            <w:pPr>
              <w:spacing w:line="360" w:lineRule="auto"/>
              <w:rPr>
                <w:rFonts w:hint="eastAsia" w:ascii="宋体" w:hAnsi="宋体" w:cs="宋体"/>
                <w:b/>
                <w:szCs w:val="21"/>
              </w:rPr>
            </w:pPr>
          </w:p>
        </w:tc>
        <w:tc>
          <w:tcPr>
            <w:tcW w:w="992" w:type="dxa"/>
            <w:vAlign w:val="center"/>
          </w:tcPr>
          <w:p>
            <w:pPr>
              <w:spacing w:line="360" w:lineRule="auto"/>
              <w:jc w:val="center"/>
              <w:rPr>
                <w:rFonts w:hint="eastAsia" w:ascii="宋体" w:hAnsi="宋体" w:cs="宋体"/>
                <w:szCs w:val="21"/>
              </w:rPr>
            </w:pPr>
            <w:r>
              <w:rPr>
                <w:rFonts w:ascii="宋体" w:hAnsi="宋体" w:cs="宋体"/>
                <w:szCs w:val="21"/>
              </w:rPr>
              <w:t>4.3创新创业实践</w:t>
            </w:r>
          </w:p>
        </w:tc>
        <w:tc>
          <w:tcPr>
            <w:tcW w:w="3532" w:type="dxa"/>
          </w:tcPr>
          <w:p>
            <w:pPr>
              <w:spacing w:line="360" w:lineRule="auto"/>
              <w:jc w:val="center"/>
              <w:rPr>
                <w:rFonts w:hint="eastAsia" w:ascii="宋体" w:hAnsi="宋体" w:cs="宋体"/>
                <w:szCs w:val="21"/>
              </w:rPr>
            </w:pPr>
            <w:r>
              <w:rPr>
                <w:rFonts w:hint="eastAsia" w:ascii="宋体" w:hAnsi="宋体" w:cs="宋体"/>
                <w:szCs w:val="21"/>
              </w:rPr>
              <w:t>具备撰写可行的数字经济创新创业与应用方案的能力。</w:t>
            </w: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7" w:type="dxa"/>
            <w:vAlign w:val="center"/>
          </w:tcPr>
          <w:p>
            <w:pPr>
              <w:spacing w:line="360" w:lineRule="auto"/>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8" w:type="dxa"/>
            <w:vMerge w:val="continue"/>
            <w:vAlign w:val="center"/>
          </w:tcPr>
          <w:p>
            <w:pPr>
              <w:spacing w:line="360" w:lineRule="auto"/>
              <w:rPr>
                <w:rFonts w:hint="eastAsia" w:ascii="宋体" w:hAnsi="宋体" w:cs="宋体"/>
                <w:b/>
                <w:szCs w:val="21"/>
              </w:rPr>
            </w:pPr>
          </w:p>
        </w:tc>
        <w:tc>
          <w:tcPr>
            <w:tcW w:w="992" w:type="dxa"/>
            <w:vAlign w:val="center"/>
          </w:tcPr>
          <w:p>
            <w:pPr>
              <w:spacing w:line="360" w:lineRule="auto"/>
              <w:jc w:val="center"/>
              <w:rPr>
                <w:rFonts w:hint="eastAsia" w:ascii="宋体" w:hAnsi="宋体" w:cs="宋体"/>
                <w:szCs w:val="21"/>
              </w:rPr>
            </w:pPr>
            <w:r>
              <w:rPr>
                <w:rFonts w:ascii="宋体" w:hAnsi="宋体" w:cs="宋体"/>
                <w:szCs w:val="21"/>
              </w:rPr>
              <w:t>4.4社会服务实践</w:t>
            </w:r>
          </w:p>
        </w:tc>
        <w:tc>
          <w:tcPr>
            <w:tcW w:w="3532" w:type="dxa"/>
          </w:tcPr>
          <w:p>
            <w:pPr>
              <w:spacing w:line="360" w:lineRule="auto"/>
              <w:jc w:val="center"/>
              <w:rPr>
                <w:rFonts w:hint="eastAsia" w:ascii="宋体" w:hAnsi="宋体" w:cs="宋体"/>
                <w:szCs w:val="21"/>
              </w:rPr>
            </w:pPr>
            <w:r>
              <w:rPr>
                <w:rFonts w:hint="eastAsia" w:ascii="宋体" w:hAnsi="宋体" w:cs="宋体"/>
                <w:szCs w:val="21"/>
              </w:rPr>
              <w:t>参与数字乡村、数字社区、区域数字经济调研与政策咨询等社会服务活动，强化社会责任意识，提升用数字经济知识服务地方发展的能力。</w:t>
            </w:r>
          </w:p>
        </w:tc>
        <w:tc>
          <w:tcPr>
            <w:tcW w:w="796" w:type="dxa"/>
            <w:vAlign w:val="center"/>
          </w:tcPr>
          <w:p>
            <w:pPr>
              <w:spacing w:line="360" w:lineRule="auto"/>
              <w:jc w:val="center"/>
              <w:rPr>
                <w:rFonts w:hint="eastAsia" w:ascii="宋体" w:hAnsi="宋体" w:cs="宋体"/>
                <w:szCs w:val="21"/>
              </w:rPr>
            </w:pP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7" w:type="dxa"/>
            <w:vAlign w:val="center"/>
          </w:tcPr>
          <w:p>
            <w:pPr>
              <w:spacing w:line="360" w:lineRule="auto"/>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8" w:type="dxa"/>
            <w:vMerge w:val="restart"/>
            <w:vAlign w:val="center"/>
          </w:tcPr>
          <w:p>
            <w:pPr>
              <w:spacing w:line="360" w:lineRule="auto"/>
              <w:jc w:val="center"/>
              <w:rPr>
                <w:rFonts w:hint="eastAsia" w:ascii="宋体" w:hAnsi="宋体" w:cs="宋体"/>
                <w:b/>
                <w:szCs w:val="21"/>
              </w:rPr>
            </w:pPr>
            <w:r>
              <w:rPr>
                <w:rFonts w:hint="eastAsia" w:ascii="宋体" w:hAnsi="宋体" w:cs="宋体"/>
                <w:b/>
                <w:szCs w:val="21"/>
              </w:rPr>
              <w:t>毕业要求5</w:t>
            </w:r>
          </w:p>
          <w:p>
            <w:pPr>
              <w:spacing w:line="360" w:lineRule="auto"/>
              <w:rPr>
                <w:rFonts w:hint="eastAsia" w:ascii="宋体" w:hAnsi="宋体" w:cs="宋体"/>
                <w:b/>
                <w:szCs w:val="21"/>
              </w:rPr>
            </w:pPr>
            <w:r>
              <w:rPr>
                <w:rFonts w:hint="eastAsia" w:ascii="宋体" w:hAnsi="宋体" w:cs="宋体"/>
                <w:b/>
                <w:szCs w:val="21"/>
              </w:rPr>
              <w:t>【发展要求】</w:t>
            </w:r>
          </w:p>
        </w:tc>
        <w:tc>
          <w:tcPr>
            <w:tcW w:w="992" w:type="dxa"/>
            <w:vAlign w:val="center"/>
          </w:tcPr>
          <w:p>
            <w:pPr>
              <w:spacing w:line="360" w:lineRule="auto"/>
              <w:jc w:val="center"/>
              <w:rPr>
                <w:rFonts w:hint="eastAsia" w:ascii="宋体" w:hAnsi="宋体" w:cs="宋体"/>
                <w:szCs w:val="21"/>
              </w:rPr>
            </w:pPr>
            <w:r>
              <w:rPr>
                <w:rFonts w:ascii="宋体" w:hAnsi="宋体" w:cs="宋体"/>
                <w:szCs w:val="21"/>
              </w:rPr>
              <w:t>5.1学习持续发展</w:t>
            </w:r>
          </w:p>
        </w:tc>
        <w:tc>
          <w:tcPr>
            <w:tcW w:w="3532" w:type="dxa"/>
          </w:tcPr>
          <w:p>
            <w:pPr>
              <w:spacing w:line="360" w:lineRule="auto"/>
              <w:jc w:val="center"/>
              <w:rPr>
                <w:rFonts w:hint="eastAsia" w:ascii="宋体" w:hAnsi="宋体" w:cs="宋体"/>
                <w:szCs w:val="21"/>
              </w:rPr>
            </w:pPr>
            <w:r>
              <w:rPr>
                <w:rFonts w:hint="eastAsia" w:ascii="宋体" w:hAnsi="宋体" w:cs="宋体"/>
                <w:szCs w:val="21"/>
              </w:rPr>
              <w:t>养成跟踪数字经济前沿动态的学习习惯，具备自主学习、知识更新与跨界融合能力，适应技术与产业快速发展。</w:t>
            </w:r>
          </w:p>
        </w:tc>
        <w:tc>
          <w:tcPr>
            <w:tcW w:w="796" w:type="dxa"/>
            <w:vAlign w:val="center"/>
          </w:tcPr>
          <w:p>
            <w:pPr>
              <w:spacing w:line="360" w:lineRule="auto"/>
              <w:jc w:val="center"/>
              <w:rPr>
                <w:rFonts w:hint="eastAsia" w:ascii="宋体" w:hAnsi="宋体" w:cs="宋体"/>
                <w:szCs w:val="21"/>
              </w:rPr>
            </w:pPr>
            <w:bookmarkStart w:id="124" w:name="OLE_LINK1"/>
            <w:r>
              <w:rPr>
                <w:rFonts w:hint="eastAsia" w:ascii="宋体" w:hAnsi="宋体" w:cs="宋体"/>
                <w:szCs w:val="21"/>
              </w:rPr>
              <w:t>√</w:t>
            </w:r>
            <w:bookmarkEnd w:id="124"/>
          </w:p>
        </w:tc>
        <w:tc>
          <w:tcPr>
            <w:tcW w:w="796" w:type="dxa"/>
            <w:vAlign w:val="center"/>
          </w:tcPr>
          <w:p>
            <w:pPr>
              <w:spacing w:line="360" w:lineRule="auto"/>
              <w:jc w:val="center"/>
              <w:rPr>
                <w:rFonts w:hint="eastAsia" w:ascii="宋体" w:hAnsi="宋体" w:cs="宋体"/>
                <w:szCs w:val="21"/>
              </w:rPr>
            </w:pP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7" w:type="dxa"/>
            <w:vAlign w:val="center"/>
          </w:tcPr>
          <w:p>
            <w:pPr>
              <w:spacing w:line="360" w:lineRule="auto"/>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8" w:type="dxa"/>
            <w:vMerge w:val="continue"/>
            <w:vAlign w:val="center"/>
          </w:tcPr>
          <w:p>
            <w:pPr>
              <w:spacing w:line="360" w:lineRule="auto"/>
              <w:rPr>
                <w:rFonts w:hint="eastAsia" w:ascii="宋体" w:hAnsi="宋体" w:cs="宋体"/>
                <w:b/>
                <w:szCs w:val="21"/>
              </w:rPr>
            </w:pPr>
          </w:p>
        </w:tc>
        <w:tc>
          <w:tcPr>
            <w:tcW w:w="992" w:type="dxa"/>
            <w:vAlign w:val="center"/>
          </w:tcPr>
          <w:p>
            <w:pPr>
              <w:spacing w:line="360" w:lineRule="auto"/>
              <w:jc w:val="center"/>
              <w:rPr>
                <w:rFonts w:hint="eastAsia" w:ascii="宋体" w:hAnsi="宋体" w:cs="宋体"/>
                <w:szCs w:val="21"/>
              </w:rPr>
            </w:pPr>
            <w:r>
              <w:rPr>
                <w:rFonts w:ascii="宋体" w:hAnsi="宋体" w:cs="宋体"/>
                <w:szCs w:val="21"/>
              </w:rPr>
              <w:t>5.2职业适应发展</w:t>
            </w:r>
          </w:p>
        </w:tc>
        <w:tc>
          <w:tcPr>
            <w:tcW w:w="3532" w:type="dxa"/>
          </w:tcPr>
          <w:p>
            <w:pPr>
              <w:spacing w:line="360" w:lineRule="auto"/>
              <w:jc w:val="center"/>
              <w:rPr>
                <w:rFonts w:hint="eastAsia" w:ascii="宋体" w:hAnsi="宋体" w:cs="宋体"/>
                <w:szCs w:val="21"/>
              </w:rPr>
            </w:pPr>
            <w:r>
              <w:rPr>
                <w:rFonts w:hint="eastAsia" w:ascii="宋体" w:hAnsi="宋体" w:cs="宋体"/>
                <w:szCs w:val="21"/>
              </w:rPr>
              <w:t>熟悉数字经济相关职业发展路径与岗位能力要求，能够制定个性化能力提升计划，具备长期职业适应与可持续发展能力。</w:t>
            </w: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7" w:type="dxa"/>
            <w:vAlign w:val="center"/>
          </w:tcPr>
          <w:p>
            <w:pPr>
              <w:spacing w:line="360" w:lineRule="auto"/>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8" w:type="dxa"/>
            <w:vMerge w:val="continue"/>
            <w:vAlign w:val="center"/>
          </w:tcPr>
          <w:p>
            <w:pPr>
              <w:spacing w:line="360" w:lineRule="auto"/>
              <w:rPr>
                <w:rFonts w:hint="eastAsia" w:ascii="宋体" w:hAnsi="宋体" w:cs="宋体"/>
                <w:b/>
                <w:szCs w:val="21"/>
              </w:rPr>
            </w:pPr>
          </w:p>
        </w:tc>
        <w:tc>
          <w:tcPr>
            <w:tcW w:w="992" w:type="dxa"/>
            <w:vAlign w:val="center"/>
          </w:tcPr>
          <w:p>
            <w:pPr>
              <w:spacing w:line="360" w:lineRule="auto"/>
              <w:jc w:val="center"/>
              <w:rPr>
                <w:rFonts w:hint="eastAsia" w:ascii="宋体" w:hAnsi="宋体" w:cs="宋体"/>
                <w:szCs w:val="21"/>
              </w:rPr>
            </w:pPr>
            <w:r>
              <w:rPr>
                <w:rFonts w:ascii="宋体" w:hAnsi="宋体" w:cs="宋体"/>
                <w:szCs w:val="21"/>
              </w:rPr>
              <w:t>5.3国际视野发展</w:t>
            </w:r>
          </w:p>
        </w:tc>
        <w:tc>
          <w:tcPr>
            <w:tcW w:w="3532" w:type="dxa"/>
          </w:tcPr>
          <w:p>
            <w:pPr>
              <w:spacing w:line="360" w:lineRule="auto"/>
              <w:jc w:val="center"/>
              <w:rPr>
                <w:rFonts w:hint="eastAsia" w:ascii="宋体" w:hAnsi="宋体" w:cs="宋体"/>
                <w:szCs w:val="21"/>
              </w:rPr>
            </w:pPr>
            <w:r>
              <w:rPr>
                <w:rFonts w:hint="eastAsia" w:ascii="宋体" w:hAnsi="宋体" w:cs="宋体"/>
                <w:szCs w:val="21"/>
              </w:rPr>
              <w:t>熟悉国际数字经济规则、跨境数字贸易与全球数字产业格局，具备以全球视野分析数字经济问题、开展比较研究与国际合作的能力。</w:t>
            </w: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7" w:type="dxa"/>
            <w:vAlign w:val="center"/>
          </w:tcPr>
          <w:p>
            <w:pPr>
              <w:spacing w:line="360" w:lineRule="auto"/>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8" w:type="dxa"/>
            <w:vMerge w:val="continue"/>
            <w:vAlign w:val="center"/>
          </w:tcPr>
          <w:p>
            <w:pPr>
              <w:spacing w:line="360" w:lineRule="auto"/>
              <w:rPr>
                <w:rFonts w:hint="eastAsia" w:ascii="宋体" w:hAnsi="宋体" w:cs="宋体"/>
                <w:b/>
                <w:szCs w:val="21"/>
              </w:rPr>
            </w:pPr>
          </w:p>
        </w:tc>
        <w:tc>
          <w:tcPr>
            <w:tcW w:w="992" w:type="dxa"/>
            <w:vAlign w:val="center"/>
          </w:tcPr>
          <w:p>
            <w:pPr>
              <w:spacing w:line="360" w:lineRule="auto"/>
              <w:jc w:val="center"/>
              <w:rPr>
                <w:rFonts w:hint="eastAsia" w:ascii="宋体" w:hAnsi="宋体" w:cs="宋体"/>
                <w:szCs w:val="21"/>
              </w:rPr>
            </w:pPr>
            <w:r>
              <w:rPr>
                <w:rFonts w:ascii="宋体" w:hAnsi="宋体" w:cs="宋体"/>
                <w:szCs w:val="21"/>
              </w:rPr>
              <w:t>5.4领导潜力发展</w:t>
            </w:r>
          </w:p>
        </w:tc>
        <w:tc>
          <w:tcPr>
            <w:tcW w:w="3532" w:type="dxa"/>
          </w:tcPr>
          <w:p>
            <w:pPr>
              <w:spacing w:line="360" w:lineRule="auto"/>
              <w:jc w:val="center"/>
              <w:rPr>
                <w:rFonts w:hint="eastAsia" w:ascii="宋体" w:hAnsi="宋体" w:cs="宋体"/>
                <w:szCs w:val="21"/>
              </w:rPr>
            </w:pPr>
            <w:r>
              <w:rPr>
                <w:rFonts w:hint="eastAsia" w:ascii="宋体" w:hAnsi="宋体" w:cs="宋体"/>
                <w:szCs w:val="21"/>
              </w:rPr>
              <w:t>在团队项目、实践实训中提升组织协调、跨文化沟通与综合管理能力，具备团队带领、项目统筹与行业引领的发展潜力。</w:t>
            </w:r>
          </w:p>
        </w:tc>
        <w:tc>
          <w:tcPr>
            <w:tcW w:w="796" w:type="dxa"/>
            <w:vAlign w:val="center"/>
          </w:tcPr>
          <w:p>
            <w:pPr>
              <w:spacing w:line="360" w:lineRule="auto"/>
              <w:jc w:val="center"/>
              <w:rPr>
                <w:rFonts w:hint="eastAsia" w:ascii="宋体" w:hAnsi="宋体" w:cs="宋体"/>
                <w:szCs w:val="21"/>
              </w:rPr>
            </w:pP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7" w:type="dxa"/>
            <w:vAlign w:val="center"/>
          </w:tcPr>
          <w:p>
            <w:pPr>
              <w:spacing w:line="360" w:lineRule="auto"/>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8" w:type="dxa"/>
            <w:vMerge w:val="restart"/>
            <w:vAlign w:val="center"/>
          </w:tcPr>
          <w:p>
            <w:pPr>
              <w:spacing w:line="360" w:lineRule="auto"/>
              <w:jc w:val="center"/>
              <w:rPr>
                <w:rFonts w:hint="eastAsia" w:ascii="宋体" w:hAnsi="宋体" w:cs="宋体"/>
                <w:b/>
                <w:szCs w:val="21"/>
              </w:rPr>
            </w:pPr>
            <w:r>
              <w:rPr>
                <w:rFonts w:hint="eastAsia" w:ascii="宋体" w:hAnsi="宋体" w:cs="宋体"/>
                <w:b/>
                <w:szCs w:val="21"/>
              </w:rPr>
              <w:t>毕业要求6</w:t>
            </w:r>
          </w:p>
          <w:p>
            <w:pPr>
              <w:spacing w:line="360" w:lineRule="auto"/>
              <w:rPr>
                <w:rFonts w:hint="eastAsia" w:ascii="宋体" w:hAnsi="宋体" w:cs="宋体"/>
                <w:b/>
                <w:szCs w:val="21"/>
              </w:rPr>
            </w:pPr>
            <w:r>
              <w:rPr>
                <w:rFonts w:hint="eastAsia" w:ascii="宋体" w:hAnsi="宋体" w:cs="宋体"/>
                <w:b/>
                <w:szCs w:val="21"/>
              </w:rPr>
              <w:t>【伦理要求】</w:t>
            </w:r>
          </w:p>
        </w:tc>
        <w:tc>
          <w:tcPr>
            <w:tcW w:w="992" w:type="dxa"/>
            <w:vAlign w:val="center"/>
          </w:tcPr>
          <w:p>
            <w:pPr>
              <w:spacing w:line="360" w:lineRule="auto"/>
              <w:jc w:val="center"/>
              <w:rPr>
                <w:rFonts w:hint="eastAsia" w:ascii="宋体" w:hAnsi="宋体" w:cs="宋体"/>
                <w:szCs w:val="21"/>
              </w:rPr>
            </w:pPr>
            <w:r>
              <w:rPr>
                <w:rFonts w:ascii="宋体" w:hAnsi="宋体" w:cs="宋体"/>
                <w:szCs w:val="21"/>
              </w:rPr>
              <w:t>6.1数据伦理意识</w:t>
            </w:r>
          </w:p>
        </w:tc>
        <w:tc>
          <w:tcPr>
            <w:tcW w:w="3532" w:type="dxa"/>
          </w:tcPr>
          <w:p>
            <w:pPr>
              <w:spacing w:line="360" w:lineRule="auto"/>
              <w:jc w:val="center"/>
              <w:rPr>
                <w:rFonts w:hint="eastAsia" w:ascii="宋体" w:hAnsi="宋体" w:cs="宋体"/>
                <w:szCs w:val="21"/>
              </w:rPr>
            </w:pPr>
            <w:r>
              <w:rPr>
                <w:rFonts w:ascii="宋体" w:hAnsi="宋体" w:cs="宋体"/>
                <w:szCs w:val="21"/>
              </w:rPr>
              <w:t>理解算法公平、数据正义、隐私保护、技术中立等数字经济核心伦理原则，具备伦理问题判断能力。</w:t>
            </w: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p>
        </w:tc>
        <w:tc>
          <w:tcPr>
            <w:tcW w:w="797" w:type="dxa"/>
            <w:vAlign w:val="center"/>
          </w:tcPr>
          <w:p>
            <w:pPr>
              <w:spacing w:line="360" w:lineRule="auto"/>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8" w:type="dxa"/>
            <w:vMerge w:val="continue"/>
            <w:vAlign w:val="center"/>
          </w:tcPr>
          <w:p>
            <w:pPr>
              <w:spacing w:line="360" w:lineRule="auto"/>
              <w:rPr>
                <w:rFonts w:hint="eastAsia" w:ascii="宋体" w:hAnsi="宋体" w:cs="宋体"/>
                <w:b/>
                <w:szCs w:val="21"/>
              </w:rPr>
            </w:pPr>
          </w:p>
        </w:tc>
        <w:tc>
          <w:tcPr>
            <w:tcW w:w="992" w:type="dxa"/>
            <w:vAlign w:val="center"/>
          </w:tcPr>
          <w:p>
            <w:pPr>
              <w:spacing w:line="360" w:lineRule="auto"/>
              <w:jc w:val="center"/>
              <w:rPr>
                <w:rFonts w:hint="eastAsia" w:ascii="宋体" w:hAnsi="宋体" w:cs="宋体"/>
                <w:szCs w:val="21"/>
              </w:rPr>
            </w:pPr>
            <w:r>
              <w:rPr>
                <w:rFonts w:ascii="宋体" w:hAnsi="宋体" w:cs="宋体"/>
                <w:szCs w:val="21"/>
              </w:rPr>
              <w:t>6.2法律法规素养</w:t>
            </w:r>
          </w:p>
        </w:tc>
        <w:tc>
          <w:tcPr>
            <w:tcW w:w="3532" w:type="dxa"/>
          </w:tcPr>
          <w:p>
            <w:pPr>
              <w:spacing w:line="360" w:lineRule="auto"/>
              <w:jc w:val="center"/>
              <w:rPr>
                <w:rFonts w:hint="eastAsia" w:ascii="宋体" w:hAnsi="宋体" w:cs="宋体"/>
                <w:szCs w:val="21"/>
              </w:rPr>
            </w:pPr>
            <w:r>
              <w:rPr>
                <w:rFonts w:ascii="宋体" w:hAnsi="宋体" w:cs="宋体"/>
                <w:szCs w:val="21"/>
              </w:rPr>
              <w:t>系统掌握数字经济领域</w:t>
            </w:r>
            <w:r>
              <w:rPr>
                <w:rFonts w:hint="eastAsia" w:ascii="宋体" w:hAnsi="宋体" w:cs="宋体"/>
                <w:szCs w:val="21"/>
              </w:rPr>
              <w:t>相关</w:t>
            </w:r>
            <w:r>
              <w:rPr>
                <w:rFonts w:ascii="宋体" w:hAnsi="宋体" w:cs="宋体"/>
                <w:szCs w:val="21"/>
              </w:rPr>
              <w:t>核心法律法规，具备合规经营和法律风险识别防控能力。</w:t>
            </w: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p>
        </w:tc>
        <w:tc>
          <w:tcPr>
            <w:tcW w:w="796" w:type="dxa"/>
            <w:vAlign w:val="center"/>
          </w:tcPr>
          <w:p>
            <w:pPr>
              <w:spacing w:line="360" w:lineRule="auto"/>
              <w:jc w:val="center"/>
              <w:rPr>
                <w:rFonts w:hint="eastAsia" w:ascii="宋体" w:hAnsi="宋体" w:cs="宋体"/>
                <w:szCs w:val="21"/>
              </w:rPr>
            </w:pPr>
          </w:p>
        </w:tc>
        <w:tc>
          <w:tcPr>
            <w:tcW w:w="797" w:type="dxa"/>
            <w:vAlign w:val="center"/>
          </w:tcPr>
          <w:p>
            <w:pPr>
              <w:spacing w:line="360" w:lineRule="auto"/>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8" w:type="dxa"/>
            <w:vMerge w:val="continue"/>
            <w:vAlign w:val="center"/>
          </w:tcPr>
          <w:p>
            <w:pPr>
              <w:spacing w:line="360" w:lineRule="auto"/>
              <w:rPr>
                <w:rFonts w:hint="eastAsia" w:ascii="宋体" w:hAnsi="宋体" w:cs="宋体"/>
                <w:b/>
                <w:szCs w:val="21"/>
              </w:rPr>
            </w:pPr>
          </w:p>
        </w:tc>
        <w:tc>
          <w:tcPr>
            <w:tcW w:w="992" w:type="dxa"/>
            <w:vAlign w:val="center"/>
          </w:tcPr>
          <w:p>
            <w:pPr>
              <w:spacing w:line="360" w:lineRule="auto"/>
              <w:jc w:val="center"/>
              <w:rPr>
                <w:rFonts w:hint="eastAsia" w:ascii="宋体" w:hAnsi="宋体" w:cs="宋体"/>
                <w:szCs w:val="21"/>
              </w:rPr>
            </w:pPr>
            <w:r>
              <w:rPr>
                <w:rFonts w:ascii="宋体" w:hAnsi="宋体" w:cs="宋体"/>
                <w:szCs w:val="21"/>
              </w:rPr>
              <w:t>6.3职业操守规范</w:t>
            </w:r>
          </w:p>
        </w:tc>
        <w:tc>
          <w:tcPr>
            <w:tcW w:w="3532" w:type="dxa"/>
          </w:tcPr>
          <w:p>
            <w:pPr>
              <w:spacing w:line="360" w:lineRule="auto"/>
              <w:jc w:val="center"/>
              <w:rPr>
                <w:rFonts w:hint="eastAsia" w:ascii="宋体" w:hAnsi="宋体" w:cs="宋体"/>
                <w:szCs w:val="21"/>
              </w:rPr>
            </w:pPr>
            <w:r>
              <w:rPr>
                <w:rFonts w:ascii="宋体" w:hAnsi="宋体" w:cs="宋体"/>
                <w:szCs w:val="21"/>
              </w:rPr>
              <w:t>具备严格遵守数字经济领域职业道德，严守数据安全底线，杜绝非法获取、泄露、倒卖数据等行为。</w:t>
            </w: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p>
        </w:tc>
        <w:tc>
          <w:tcPr>
            <w:tcW w:w="797" w:type="dxa"/>
            <w:vAlign w:val="center"/>
          </w:tcPr>
          <w:p>
            <w:pPr>
              <w:spacing w:line="360" w:lineRule="auto"/>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8" w:type="dxa"/>
            <w:vMerge w:val="continue"/>
            <w:vAlign w:val="center"/>
          </w:tcPr>
          <w:p>
            <w:pPr>
              <w:spacing w:line="360" w:lineRule="auto"/>
              <w:rPr>
                <w:rFonts w:hint="eastAsia" w:ascii="宋体" w:hAnsi="宋体" w:cs="宋体"/>
                <w:b/>
                <w:szCs w:val="21"/>
              </w:rPr>
            </w:pPr>
          </w:p>
        </w:tc>
        <w:tc>
          <w:tcPr>
            <w:tcW w:w="992" w:type="dxa"/>
            <w:vAlign w:val="center"/>
          </w:tcPr>
          <w:p>
            <w:pPr>
              <w:spacing w:line="360" w:lineRule="auto"/>
              <w:jc w:val="center"/>
              <w:rPr>
                <w:rFonts w:hint="eastAsia" w:ascii="宋体" w:hAnsi="宋体" w:cs="宋体"/>
                <w:szCs w:val="21"/>
              </w:rPr>
            </w:pPr>
            <w:r>
              <w:rPr>
                <w:rFonts w:ascii="宋体" w:hAnsi="宋体" w:cs="宋体"/>
                <w:szCs w:val="21"/>
              </w:rPr>
              <w:t>6.4科技责任担当</w:t>
            </w:r>
          </w:p>
        </w:tc>
        <w:tc>
          <w:tcPr>
            <w:tcW w:w="3532" w:type="dxa"/>
          </w:tcPr>
          <w:p>
            <w:pPr>
              <w:spacing w:line="360" w:lineRule="auto"/>
              <w:jc w:val="center"/>
              <w:rPr>
                <w:rFonts w:hint="eastAsia" w:ascii="宋体" w:hAnsi="宋体" w:cs="宋体"/>
                <w:szCs w:val="21"/>
              </w:rPr>
            </w:pPr>
            <w:r>
              <w:rPr>
                <w:rFonts w:ascii="宋体" w:hAnsi="宋体" w:cs="宋体"/>
                <w:szCs w:val="21"/>
              </w:rPr>
              <w:t>深刻理解数字技术的多重影响，具备推动数字普惠、服务数字中国建设的社会责任感。</w:t>
            </w: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6" w:type="dxa"/>
            <w:vAlign w:val="center"/>
          </w:tcPr>
          <w:p>
            <w:pPr>
              <w:spacing w:line="360" w:lineRule="auto"/>
              <w:jc w:val="center"/>
              <w:rPr>
                <w:rFonts w:hint="eastAsia" w:ascii="宋体" w:hAnsi="宋体" w:cs="宋体"/>
                <w:szCs w:val="21"/>
              </w:rPr>
            </w:pPr>
          </w:p>
        </w:tc>
        <w:tc>
          <w:tcPr>
            <w:tcW w:w="796" w:type="dxa"/>
            <w:vAlign w:val="center"/>
          </w:tcPr>
          <w:p>
            <w:pPr>
              <w:spacing w:line="360" w:lineRule="auto"/>
              <w:jc w:val="center"/>
              <w:rPr>
                <w:rFonts w:hint="eastAsia" w:ascii="宋体" w:hAnsi="宋体" w:cs="宋体"/>
                <w:szCs w:val="21"/>
              </w:rPr>
            </w:pPr>
            <w:r>
              <w:rPr>
                <w:rFonts w:hint="eastAsia" w:ascii="宋体" w:hAnsi="宋体" w:cs="宋体"/>
                <w:szCs w:val="21"/>
              </w:rPr>
              <w:t>√</w:t>
            </w:r>
          </w:p>
        </w:tc>
        <w:tc>
          <w:tcPr>
            <w:tcW w:w="797" w:type="dxa"/>
            <w:vAlign w:val="center"/>
          </w:tcPr>
          <w:p>
            <w:pPr>
              <w:spacing w:line="360" w:lineRule="auto"/>
              <w:jc w:val="center"/>
              <w:rPr>
                <w:rFonts w:hint="eastAsia" w:ascii="宋体" w:hAnsi="宋体" w:cs="宋体"/>
                <w:szCs w:val="21"/>
              </w:rPr>
            </w:pPr>
            <w:r>
              <w:rPr>
                <w:rFonts w:hint="eastAsia" w:ascii="宋体" w:hAnsi="宋体" w:cs="宋体"/>
                <w:szCs w:val="21"/>
              </w:rPr>
              <w:t>√</w:t>
            </w:r>
          </w:p>
        </w:tc>
      </w:tr>
    </w:tbl>
    <w:p>
      <w:pPr>
        <w:rPr>
          <w:rFonts w:hint="eastAsia" w:ascii="楷体" w:hAnsi="楷体" w:eastAsia="楷体" w:cs="楷体"/>
          <w:szCs w:val="21"/>
        </w:rPr>
      </w:pPr>
    </w:p>
    <w:p>
      <w:pPr>
        <w:spacing w:line="360" w:lineRule="auto"/>
        <w:rPr>
          <w:rFonts w:hint="eastAsia" w:ascii="宋体" w:hAnsi="宋体" w:cs="宋体"/>
          <w:b/>
          <w:bCs/>
          <w:szCs w:val="21"/>
        </w:rPr>
      </w:pPr>
      <w:r>
        <w:rPr>
          <w:rFonts w:hint="eastAsia" w:ascii="宋体" w:hAnsi="宋体" w:cs="宋体"/>
          <w:b/>
          <w:bCs/>
          <w:szCs w:val="21"/>
        </w:rPr>
        <w:t>四、学制和修业年限</w:t>
      </w:r>
    </w:p>
    <w:p>
      <w:pPr>
        <w:spacing w:line="360" w:lineRule="auto"/>
        <w:rPr>
          <w:rFonts w:hint="eastAsia" w:ascii="宋体" w:hAnsi="宋体" w:cs="宋体"/>
          <w:szCs w:val="21"/>
        </w:rPr>
      </w:pPr>
      <w:r>
        <w:rPr>
          <w:rFonts w:hint="eastAsia" w:ascii="宋体" w:hAnsi="宋体" w:cs="宋体"/>
          <w:szCs w:val="21"/>
        </w:rPr>
        <w:t>（一）学制：标准学制为4年，实行弹性学制和学分制管理。</w:t>
      </w:r>
    </w:p>
    <w:p>
      <w:pPr>
        <w:spacing w:line="360" w:lineRule="auto"/>
        <w:rPr>
          <w:rFonts w:hint="eastAsia" w:ascii="宋体" w:hAnsi="宋体" w:cs="宋体"/>
          <w:szCs w:val="21"/>
        </w:rPr>
      </w:pPr>
      <w:r>
        <w:rPr>
          <w:rFonts w:hint="eastAsia" w:ascii="宋体" w:hAnsi="宋体" w:cs="宋体"/>
          <w:szCs w:val="21"/>
        </w:rPr>
        <w:t>（二）修业年限：可在3-6年内完成学业。</w:t>
      </w:r>
    </w:p>
    <w:p>
      <w:pPr>
        <w:spacing w:line="360" w:lineRule="auto"/>
        <w:rPr>
          <w:rFonts w:hint="eastAsia" w:ascii="宋体" w:hAnsi="宋体" w:cs="宋体"/>
          <w:b/>
          <w:bCs/>
          <w:szCs w:val="21"/>
        </w:rPr>
      </w:pPr>
      <w:r>
        <w:rPr>
          <w:rFonts w:hint="eastAsia" w:ascii="宋体" w:hAnsi="宋体" w:cs="宋体"/>
          <w:b/>
          <w:bCs/>
          <w:szCs w:val="21"/>
        </w:rPr>
        <w:t>五、所属学科门类及相近专业</w:t>
      </w:r>
    </w:p>
    <w:p>
      <w:pPr>
        <w:spacing w:line="360" w:lineRule="auto"/>
        <w:rPr>
          <w:rFonts w:hint="eastAsia" w:ascii="仿宋" w:hAnsi="仿宋" w:eastAsia="仿宋" w:cs="仿宋"/>
          <w:i/>
          <w:iCs/>
          <w:szCs w:val="21"/>
        </w:rPr>
      </w:pPr>
      <w:r>
        <w:rPr>
          <w:rFonts w:hint="eastAsia" w:ascii="宋体" w:hAnsi="宋体" w:cs="宋体"/>
          <w:szCs w:val="21"/>
        </w:rPr>
        <w:t>（一）所属学科门类：经济学</w:t>
      </w:r>
    </w:p>
    <w:p>
      <w:pPr>
        <w:spacing w:line="360" w:lineRule="auto"/>
        <w:rPr>
          <w:rFonts w:hint="eastAsia" w:ascii="宋体" w:hAnsi="宋体" w:cs="宋体"/>
          <w:szCs w:val="21"/>
        </w:rPr>
      </w:pPr>
      <w:r>
        <w:rPr>
          <w:rFonts w:hint="eastAsia" w:ascii="宋体" w:hAnsi="宋体" w:cs="宋体"/>
          <w:szCs w:val="21"/>
        </w:rPr>
        <w:t>（二）相近专业：经济学、经济统计学、金融科技等。</w:t>
      </w:r>
    </w:p>
    <w:p>
      <w:pPr>
        <w:spacing w:line="360" w:lineRule="auto"/>
        <w:rPr>
          <w:rFonts w:hint="eastAsia" w:ascii="宋体" w:hAnsi="宋体" w:cs="宋体"/>
          <w:b/>
          <w:bCs/>
          <w:szCs w:val="21"/>
        </w:rPr>
      </w:pPr>
      <w:r>
        <w:rPr>
          <w:rFonts w:hint="eastAsia" w:ascii="宋体" w:hAnsi="宋体" w:cs="宋体"/>
          <w:b/>
          <w:bCs/>
          <w:szCs w:val="21"/>
        </w:rPr>
        <w:t>六、专业核心课程</w:t>
      </w:r>
    </w:p>
    <w:p>
      <w:pPr>
        <w:spacing w:line="360" w:lineRule="auto"/>
        <w:ind w:firstLine="420"/>
        <w:rPr>
          <w:rFonts w:hint="eastAsia" w:ascii="宋体" w:hAnsi="宋体" w:cs="宋体"/>
          <w:szCs w:val="21"/>
        </w:rPr>
      </w:pPr>
      <w:r>
        <w:rPr>
          <w:rFonts w:hint="eastAsia" w:ascii="宋体" w:hAnsi="宋体" w:cs="宋体"/>
          <w:szCs w:val="21"/>
        </w:rPr>
        <w:t>微观经济学、宏观经济学、政治经济学、统计学原理、计量经济学、数字经济学、数字金融与金融科技、数字贸易、信息经济学、经济大数据、人工智能与产业发展等（详见课程设置计划表中课程说明）。</w:t>
      </w:r>
    </w:p>
    <w:p>
      <w:pPr>
        <w:spacing w:line="360" w:lineRule="auto"/>
        <w:rPr>
          <w:rFonts w:hint="eastAsia" w:ascii="宋体" w:hAnsi="宋体" w:cs="宋体"/>
          <w:b/>
          <w:bCs/>
          <w:szCs w:val="21"/>
        </w:rPr>
      </w:pPr>
      <w:r>
        <w:rPr>
          <w:rFonts w:hint="eastAsia" w:ascii="宋体" w:hAnsi="宋体" w:cs="宋体"/>
          <w:b/>
          <w:bCs/>
          <w:szCs w:val="21"/>
        </w:rPr>
        <w:t>七、主要实验及实践教学要求</w:t>
      </w:r>
    </w:p>
    <w:p>
      <w:pPr>
        <w:spacing w:line="360" w:lineRule="auto"/>
        <w:rPr>
          <w:rFonts w:hint="eastAsia" w:ascii="宋体" w:hAnsi="宋体" w:cs="宋体"/>
          <w:b/>
          <w:bCs/>
          <w:szCs w:val="21"/>
        </w:rPr>
      </w:pPr>
      <w:r>
        <w:rPr>
          <w:rFonts w:hint="eastAsia" w:ascii="宋体" w:hAnsi="宋体" w:cs="宋体"/>
          <w:b/>
          <w:bCs/>
          <w:szCs w:val="21"/>
        </w:rPr>
        <w:t>（一）课堂实验实训教学</w:t>
      </w:r>
    </w:p>
    <w:p>
      <w:pPr>
        <w:spacing w:line="480" w:lineRule="exact"/>
        <w:ind w:firstLine="420" w:firstLineChars="200"/>
        <w:rPr>
          <w:rFonts w:hint="eastAsia" w:ascii="宋体" w:hAnsi="宋体" w:cs="宋体"/>
          <w:szCs w:val="21"/>
        </w:rPr>
      </w:pPr>
      <w:r>
        <w:rPr>
          <w:rFonts w:hint="eastAsia" w:ascii="宋体" w:hAnsi="宋体" w:cs="宋体"/>
          <w:szCs w:val="21"/>
        </w:rPr>
        <w:t>充分利用开放性实验室，开设独立的实验实训课程内容，设计综合性、设计性实验项目；教师全程跟踪和指导学生的实验实训活动。</w:t>
      </w:r>
    </w:p>
    <w:p>
      <w:pPr>
        <w:spacing w:line="360" w:lineRule="auto"/>
        <w:rPr>
          <w:rFonts w:hint="eastAsia" w:ascii="宋体" w:hAnsi="宋体" w:cs="宋体"/>
          <w:b/>
          <w:bCs/>
          <w:szCs w:val="21"/>
        </w:rPr>
      </w:pPr>
      <w:r>
        <w:rPr>
          <w:rFonts w:hint="eastAsia" w:ascii="宋体" w:hAnsi="宋体" w:cs="宋体"/>
          <w:b/>
          <w:bCs/>
          <w:szCs w:val="21"/>
        </w:rPr>
        <w:t>（二）专业见习</w:t>
      </w:r>
    </w:p>
    <w:p>
      <w:pPr>
        <w:spacing w:line="480" w:lineRule="exact"/>
        <w:ind w:firstLine="420" w:firstLineChars="200"/>
        <w:rPr>
          <w:rFonts w:hint="eastAsia" w:ascii="宋体" w:hAnsi="宋体" w:cs="宋体"/>
          <w:szCs w:val="21"/>
        </w:rPr>
      </w:pPr>
      <w:r>
        <w:rPr>
          <w:rFonts w:hint="eastAsia" w:ascii="宋体" w:hAnsi="宋体" w:cs="宋体"/>
          <w:szCs w:val="21"/>
        </w:rPr>
        <w:t>根据专业特点、就业需要以及人才培养目标，充分利用专业实习基地、实践教学基地等，开展专业见习环节；也可采取其他灵活多样的方式进行安排。专业见习总时间不少于2周，计1学分。</w:t>
      </w:r>
    </w:p>
    <w:p>
      <w:pPr>
        <w:spacing w:line="360" w:lineRule="auto"/>
        <w:rPr>
          <w:rFonts w:hint="eastAsia" w:ascii="宋体" w:hAnsi="宋体" w:cs="宋体"/>
          <w:b/>
          <w:bCs/>
          <w:szCs w:val="21"/>
        </w:rPr>
      </w:pPr>
      <w:r>
        <w:rPr>
          <w:rFonts w:hint="eastAsia" w:ascii="宋体" w:hAnsi="宋体" w:cs="宋体"/>
          <w:b/>
          <w:bCs/>
          <w:szCs w:val="21"/>
        </w:rPr>
        <w:t>（三）专业实习</w:t>
      </w:r>
    </w:p>
    <w:p>
      <w:pPr>
        <w:spacing w:line="480" w:lineRule="exact"/>
        <w:ind w:firstLine="420" w:firstLineChars="200"/>
        <w:rPr>
          <w:rFonts w:hint="eastAsia" w:ascii="宋体" w:hAnsi="宋体" w:cs="宋体"/>
          <w:szCs w:val="21"/>
        </w:rPr>
      </w:pPr>
      <w:r>
        <w:rPr>
          <w:rFonts w:hint="eastAsia" w:ascii="宋体" w:hAnsi="宋体" w:cs="宋体"/>
          <w:szCs w:val="21"/>
        </w:rPr>
        <w:t>毕业实习（专业实习）总时间不少于8周，计3学分；鼓励学生参加本专业规定的实习后，再到其感兴趣或与就业相关的行业历练。</w:t>
      </w:r>
    </w:p>
    <w:p>
      <w:pPr>
        <w:spacing w:line="360" w:lineRule="auto"/>
        <w:rPr>
          <w:rFonts w:hint="eastAsia" w:ascii="宋体" w:hAnsi="宋体" w:cs="宋体"/>
          <w:b/>
          <w:bCs/>
          <w:szCs w:val="21"/>
        </w:rPr>
      </w:pPr>
      <w:r>
        <w:rPr>
          <w:rFonts w:hint="eastAsia" w:ascii="宋体" w:hAnsi="宋体" w:cs="宋体"/>
          <w:b/>
          <w:bCs/>
          <w:szCs w:val="21"/>
        </w:rPr>
        <w:t>（四）毕业论文</w:t>
      </w:r>
    </w:p>
    <w:p>
      <w:pPr>
        <w:spacing w:line="480" w:lineRule="exact"/>
        <w:ind w:firstLine="420" w:firstLineChars="200"/>
        <w:rPr>
          <w:rFonts w:hint="eastAsia" w:ascii="宋体" w:hAnsi="宋体" w:cs="宋体"/>
          <w:szCs w:val="21"/>
        </w:rPr>
      </w:pPr>
      <w:r>
        <w:rPr>
          <w:rFonts w:hint="eastAsia" w:ascii="宋体" w:hAnsi="宋体" w:cs="宋体"/>
          <w:szCs w:val="21"/>
        </w:rPr>
        <w:t>毕业论文应体现数字经济专业鲜明的理论色彩，并兼有应用性和实践性，以学术论文为主要形式；在内容上应体现学生综合运用专业知识的能力、熟练运用现代经济学研究方法的能力、对问题进行逻辑分析和归纳总结的能力；毕业论文应遵守学术道德和学术规范。学生应在本专业范围内，根据自身知识储备、兴趣和特长，在指导教师的指导下选题并撰写。毕业论文总时间不得少于10周，计4学分。</w:t>
      </w:r>
    </w:p>
    <w:p>
      <w:pPr>
        <w:spacing w:line="360" w:lineRule="auto"/>
        <w:rPr>
          <w:rFonts w:hint="eastAsia" w:ascii="宋体" w:hAnsi="宋体" w:cs="宋体"/>
          <w:b/>
          <w:bCs/>
          <w:szCs w:val="21"/>
        </w:rPr>
      </w:pPr>
      <w:r>
        <w:rPr>
          <w:rFonts w:hint="eastAsia" w:ascii="宋体" w:hAnsi="宋体" w:cs="宋体"/>
          <w:b/>
          <w:bCs/>
          <w:szCs w:val="21"/>
        </w:rPr>
        <w:t>（五）社会调查</w:t>
      </w:r>
    </w:p>
    <w:p>
      <w:pPr>
        <w:spacing w:line="480" w:lineRule="exact"/>
        <w:ind w:firstLine="420" w:firstLineChars="200"/>
        <w:rPr>
          <w:rFonts w:hint="eastAsia" w:ascii="宋体" w:hAnsi="宋体" w:cs="宋体"/>
          <w:szCs w:val="21"/>
        </w:rPr>
      </w:pPr>
      <w:r>
        <w:rPr>
          <w:rFonts w:hint="eastAsia" w:ascii="宋体" w:hAnsi="宋体" w:cs="宋体"/>
          <w:szCs w:val="21"/>
        </w:rPr>
        <w:t>社会实践包括一般性的社会实践和专业社会实践。一般性的社会实践，如大学生志愿者暑期文化科技卫生“三下乡”社会实践活动等，由校团委等部门负责组织实施；专业社会实践，如创业教育实训、专业考察等，由学院专业教师或创新创业实践导师带队指导。社会实践计2学分。</w:t>
      </w:r>
    </w:p>
    <w:p>
      <w:pPr>
        <w:spacing w:line="360" w:lineRule="auto"/>
        <w:rPr>
          <w:rFonts w:hint="eastAsia" w:ascii="宋体" w:hAnsi="宋体" w:cs="宋体"/>
          <w:b/>
          <w:bCs/>
          <w:szCs w:val="21"/>
        </w:rPr>
      </w:pPr>
      <w:r>
        <w:rPr>
          <w:rFonts w:hint="eastAsia" w:ascii="宋体" w:hAnsi="宋体" w:cs="宋体"/>
          <w:b/>
          <w:bCs/>
          <w:szCs w:val="21"/>
        </w:rPr>
        <w:t>（六）科研训练</w:t>
      </w:r>
    </w:p>
    <w:p>
      <w:pPr>
        <w:spacing w:line="480" w:lineRule="exact"/>
        <w:ind w:firstLine="420" w:firstLineChars="200"/>
        <w:rPr>
          <w:rFonts w:hint="eastAsia" w:ascii="宋体" w:hAnsi="宋体" w:cs="宋体"/>
          <w:szCs w:val="21"/>
        </w:rPr>
      </w:pPr>
      <w:r>
        <w:rPr>
          <w:rFonts w:hint="eastAsia" w:ascii="宋体" w:hAnsi="宋体" w:cs="宋体"/>
          <w:szCs w:val="21"/>
        </w:rPr>
        <w:t>科研训练包括撰写课程论文（设计）、学年论文（设计），参加“挑战杯”、中国“互联网+”大学生创新创业大赛、大学生创新创业训练计划项目以及教师承担的科研课题研究等；可利用寒暑假时间或在课程教学过程中开展。学生参加课外学术科技竞赛活动取得的成果，由个人提出申请，附有关证明材料（含指导教师签字证明），经教务处审核认可后可获得创新学分；并可冲抵通识素质教育选修课学分（不超过2学分）或其他课程平台的选修课学分（冲抵学分数视具体情况而定）。</w:t>
      </w:r>
    </w:p>
    <w:p>
      <w:pPr>
        <w:spacing w:line="360" w:lineRule="auto"/>
        <w:rPr>
          <w:rFonts w:hint="eastAsia" w:ascii="宋体" w:hAnsi="宋体" w:cs="宋体"/>
          <w:b/>
          <w:bCs/>
          <w:szCs w:val="21"/>
        </w:rPr>
      </w:pPr>
      <w:r>
        <w:rPr>
          <w:rFonts w:hint="eastAsia" w:ascii="宋体" w:hAnsi="宋体" w:cs="宋体"/>
          <w:b/>
          <w:bCs/>
          <w:szCs w:val="21"/>
        </w:rPr>
        <w:t>（七）</w:t>
      </w:r>
      <w:r>
        <w:rPr>
          <w:rFonts w:hint="eastAsia" w:ascii="Times New Roman" w:hAnsi="Times New Roman"/>
          <w:b/>
          <w:bCs/>
          <w:kern w:val="0"/>
          <w:szCs w:val="21"/>
          <w:lang w:bidi="ar"/>
        </w:rPr>
        <w:t>第二课堂成绩单</w:t>
      </w:r>
    </w:p>
    <w:p>
      <w:pPr>
        <w:snapToGrid w:val="0"/>
        <w:spacing w:line="480" w:lineRule="exact"/>
        <w:ind w:firstLine="412" w:firstLineChars="200"/>
        <w:rPr>
          <w:rFonts w:hint="eastAsia" w:ascii="宋体" w:hAnsi="宋体" w:cs="宋体"/>
          <w:spacing w:val="-2"/>
          <w:szCs w:val="21"/>
        </w:rPr>
      </w:pPr>
      <w:r>
        <w:rPr>
          <w:rFonts w:hint="eastAsia" w:ascii="Times New Roman" w:hAnsi="Times New Roman"/>
          <w:spacing w:val="-2"/>
          <w:szCs w:val="21"/>
        </w:rPr>
        <w:t>实行“第二课堂成绩单”制度。第二课堂学分不占用专业的学分，由校团委单独赋分，主要内容包括：思想成长、实践锻炼与志愿服务、创新创业、文体活动、任职履历、技能特长及其他等模块，修满可获得6个第二课堂成绩单学分。</w:t>
      </w:r>
      <w:r>
        <w:rPr>
          <w:rFonts w:hint="eastAsia" w:ascii="宋体" w:hAnsi="宋体" w:cs="宋体"/>
          <w:spacing w:val="-2"/>
          <w:szCs w:val="21"/>
        </w:rPr>
        <w:t>详情见经济管理学院数字经济专业课程设置计划总表附表。</w:t>
      </w:r>
    </w:p>
    <w:p>
      <w:pPr>
        <w:spacing w:line="360" w:lineRule="auto"/>
        <w:rPr>
          <w:rFonts w:hint="eastAsia" w:ascii="宋体" w:hAnsi="宋体" w:cs="宋体"/>
          <w:b/>
          <w:bCs/>
          <w:szCs w:val="21"/>
        </w:rPr>
      </w:pPr>
      <w:r>
        <w:rPr>
          <w:rFonts w:hint="eastAsia" w:ascii="宋体" w:hAnsi="宋体" w:cs="宋体"/>
          <w:b/>
          <w:bCs/>
          <w:szCs w:val="21"/>
        </w:rPr>
        <w:t>八、毕业最低学分与学位授予</w:t>
      </w:r>
    </w:p>
    <w:p>
      <w:pPr>
        <w:spacing w:line="360" w:lineRule="auto"/>
        <w:rPr>
          <w:rFonts w:hint="eastAsia" w:ascii="宋体" w:hAnsi="宋体" w:cs="宋体"/>
          <w:szCs w:val="21"/>
        </w:rPr>
      </w:pPr>
      <w:r>
        <w:rPr>
          <w:rFonts w:hint="eastAsia" w:ascii="宋体" w:hAnsi="宋体" w:cs="宋体"/>
          <w:szCs w:val="21"/>
        </w:rPr>
        <w:t>（一）毕业最低学分要求：149学分。</w:t>
      </w:r>
    </w:p>
    <w:p>
      <w:pPr>
        <w:spacing w:line="360" w:lineRule="auto"/>
        <w:rPr>
          <w:rFonts w:hint="eastAsia" w:ascii="宋体" w:hAnsi="宋体" w:cs="宋体"/>
          <w:b/>
          <w:bCs/>
          <w:szCs w:val="21"/>
        </w:rPr>
      </w:pPr>
      <w:r>
        <w:rPr>
          <w:rFonts w:hint="eastAsia" w:ascii="宋体" w:hAnsi="宋体" w:cs="宋体"/>
          <w:szCs w:val="21"/>
        </w:rPr>
        <w:t>（二）学位授予：经济学学士学位。</w:t>
      </w:r>
    </w:p>
    <w:p>
      <w:pPr>
        <w:spacing w:line="360" w:lineRule="auto"/>
        <w:rPr>
          <w:rFonts w:hint="eastAsia" w:ascii="宋体" w:hAnsi="宋体" w:cs="宋体"/>
          <w:b/>
          <w:bCs/>
          <w:szCs w:val="21"/>
        </w:rPr>
      </w:pPr>
      <w:r>
        <w:rPr>
          <w:rFonts w:hint="eastAsia" w:ascii="宋体" w:hAnsi="宋体" w:cs="宋体"/>
          <w:b/>
          <w:bCs/>
          <w:szCs w:val="21"/>
        </w:rPr>
        <w:t>九、课程结构与学分分布比例</w:t>
      </w:r>
    </w:p>
    <w:tbl>
      <w:tblPr>
        <w:tblStyle w:val="40"/>
        <w:tblW w:w="818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1737"/>
        <w:gridCol w:w="2295"/>
        <w:gridCol w:w="932"/>
        <w:gridCol w:w="1040"/>
        <w:gridCol w:w="1130"/>
        <w:gridCol w:w="105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54" w:hRule="exact"/>
          <w:jc w:val="center"/>
        </w:trPr>
        <w:tc>
          <w:tcPr>
            <w:tcW w:w="4032" w:type="dxa"/>
            <w:gridSpan w:val="2"/>
            <w:tcBorders>
              <w:top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ascii="Times New Roman" w:hAnsi="Times New Roman" w:cs="仿宋_GB2312"/>
                <w:szCs w:val="21"/>
                <w:lang w:val="zh-CN"/>
              </w:rPr>
              <w:t>课程平台与性质</w:t>
            </w:r>
          </w:p>
        </w:tc>
        <w:tc>
          <w:tcPr>
            <w:tcW w:w="1972"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ascii="Times New Roman" w:hAnsi="Times New Roman" w:cs="仿宋_GB2312"/>
                <w:szCs w:val="21"/>
                <w:lang w:val="zh-CN"/>
              </w:rPr>
              <w:t>学分数</w:t>
            </w:r>
          </w:p>
        </w:tc>
        <w:tc>
          <w:tcPr>
            <w:tcW w:w="2180" w:type="dxa"/>
            <w:gridSpan w:val="2"/>
            <w:tcBorders>
              <w:top w:val="single" w:color="auto" w:sz="4" w:space="0"/>
              <w:left w:val="single" w:color="auto" w:sz="4" w:space="0"/>
              <w:bottom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ascii="Times New Roman" w:hAnsi="Times New Roman" w:cs="仿宋_GB2312"/>
                <w:szCs w:val="21"/>
                <w:lang w:val="zh-CN"/>
              </w:rPr>
              <w:t>分布比例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64" w:hRule="exact"/>
          <w:jc w:val="center"/>
        </w:trPr>
        <w:tc>
          <w:tcPr>
            <w:tcW w:w="1737" w:type="dxa"/>
            <w:vMerge w:val="restart"/>
            <w:tcBorders>
              <w:top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ascii="Times New Roman" w:hAnsi="Times New Roman" w:cs="仿宋_GB2312"/>
                <w:szCs w:val="21"/>
                <w:lang w:val="zh-CN"/>
              </w:rPr>
              <w:t>通识教育</w:t>
            </w:r>
            <w:r>
              <w:rPr>
                <w:rFonts w:hint="eastAsia" w:ascii="Times New Roman" w:hAnsi="Times New Roman" w:cs="仿宋_GB2312"/>
                <w:szCs w:val="21"/>
              </w:rPr>
              <w:t>课程</w:t>
            </w:r>
          </w:p>
        </w:tc>
        <w:tc>
          <w:tcPr>
            <w:tcW w:w="229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hint="eastAsia" w:ascii="Times New Roman" w:hAnsi="Times New Roman" w:cs="仿宋_GB2312"/>
                <w:szCs w:val="21"/>
                <w:lang w:val="zh-CN"/>
              </w:rPr>
              <w:t>通识基础课程（</w:t>
            </w:r>
            <w:r>
              <w:rPr>
                <w:rFonts w:ascii="Times New Roman" w:hAnsi="Times New Roman" w:cs="仿宋_GB2312"/>
                <w:szCs w:val="21"/>
                <w:lang w:val="zh-CN"/>
              </w:rPr>
              <w:t>必修</w:t>
            </w:r>
            <w:r>
              <w:rPr>
                <w:rFonts w:hint="eastAsia" w:ascii="Times New Roman" w:hAnsi="Times New Roman" w:cs="仿宋_GB2312"/>
                <w:szCs w:val="21"/>
                <w:lang w:val="zh-CN"/>
              </w:rPr>
              <w:t>）</w:t>
            </w:r>
          </w:p>
        </w:tc>
        <w:tc>
          <w:tcPr>
            <w:tcW w:w="93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cs="仿宋_GB2312"/>
                <w:szCs w:val="21"/>
                <w:lang w:val="zh-CN"/>
              </w:rPr>
            </w:pPr>
            <w:r>
              <w:rPr>
                <w:rFonts w:hint="eastAsia" w:ascii="Times New Roman" w:hAnsi="Times New Roman" w:cs="仿宋_GB2312"/>
                <w:szCs w:val="21"/>
                <w:lang w:val="zh-CN"/>
              </w:rPr>
              <w:t>39.0</w:t>
            </w:r>
          </w:p>
        </w:tc>
        <w:tc>
          <w:tcPr>
            <w:tcW w:w="1040"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cs="仿宋_GB2312"/>
                <w:szCs w:val="21"/>
                <w:lang w:val="zh-CN"/>
              </w:rPr>
            </w:pPr>
            <w:r>
              <w:rPr>
                <w:rFonts w:hint="eastAsia" w:ascii="Times New Roman" w:hAnsi="Times New Roman" w:cs="仿宋_GB2312"/>
                <w:szCs w:val="21"/>
                <w:lang w:val="zh-CN"/>
              </w:rPr>
              <w:t>46.0</w:t>
            </w:r>
          </w:p>
        </w:tc>
        <w:tc>
          <w:tcPr>
            <w:tcW w:w="113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cs="仿宋_GB2312"/>
                <w:szCs w:val="21"/>
                <w:lang w:val="zh-CN"/>
              </w:rPr>
            </w:pPr>
            <w:r>
              <w:rPr>
                <w:rFonts w:hint="eastAsia" w:ascii="Times New Roman" w:hAnsi="Times New Roman" w:cs="仿宋_GB2312"/>
                <w:szCs w:val="21"/>
                <w:lang w:val="zh-CN"/>
              </w:rPr>
              <w:t>26.2</w:t>
            </w:r>
            <w:r>
              <w:rPr>
                <w:rFonts w:ascii="Times New Roman" w:hAnsi="Times New Roman" w:cs="仿宋_GB2312"/>
                <w:szCs w:val="21"/>
                <w:lang w:val="zh-CN"/>
              </w:rPr>
              <w:t>%</w:t>
            </w:r>
          </w:p>
        </w:tc>
        <w:tc>
          <w:tcPr>
            <w:tcW w:w="1050" w:type="dxa"/>
            <w:vMerge w:val="restart"/>
            <w:tcBorders>
              <w:top w:val="single" w:color="auto" w:sz="4" w:space="0"/>
              <w:left w:val="single" w:color="auto" w:sz="4" w:space="0"/>
              <w:bottom w:val="single" w:color="auto" w:sz="4" w:space="0"/>
            </w:tcBorders>
            <w:vAlign w:val="center"/>
          </w:tcPr>
          <w:p>
            <w:pPr>
              <w:autoSpaceDE w:val="0"/>
              <w:autoSpaceDN w:val="0"/>
              <w:adjustRightInd w:val="0"/>
              <w:spacing w:line="260" w:lineRule="exact"/>
              <w:jc w:val="center"/>
              <w:rPr>
                <w:rFonts w:ascii="Times New Roman" w:hAnsi="Times New Roman" w:cs="仿宋_GB2312"/>
                <w:szCs w:val="21"/>
                <w:lang w:val="zh-CN"/>
              </w:rPr>
            </w:pPr>
            <w:r>
              <w:rPr>
                <w:rFonts w:hint="eastAsia" w:ascii="Times New Roman" w:hAnsi="Times New Roman" w:cs="仿宋_GB2312"/>
                <w:szCs w:val="21"/>
                <w:lang w:val="zh-CN"/>
              </w:rPr>
              <w:t>30.9</w:t>
            </w:r>
            <w:r>
              <w:rPr>
                <w:rFonts w:ascii="Times New Roman" w:hAnsi="Times New Roman" w:cs="仿宋_GB2312"/>
                <w:szCs w:val="21"/>
                <w:lang w:val="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31" w:hRule="exact"/>
          <w:jc w:val="center"/>
        </w:trPr>
        <w:tc>
          <w:tcPr>
            <w:tcW w:w="1737" w:type="dxa"/>
            <w:vMerge w:val="continue"/>
            <w:tcBorders>
              <w:top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p>
        </w:tc>
        <w:tc>
          <w:tcPr>
            <w:tcW w:w="229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hint="eastAsia" w:ascii="Times New Roman" w:hAnsi="Times New Roman" w:cs="仿宋_GB2312"/>
                <w:szCs w:val="21"/>
              </w:rPr>
              <w:t>通识选修课程（</w:t>
            </w:r>
            <w:r>
              <w:rPr>
                <w:rFonts w:ascii="Times New Roman" w:hAnsi="Times New Roman" w:cs="仿宋_GB2312"/>
                <w:szCs w:val="21"/>
                <w:lang w:val="zh-CN"/>
              </w:rPr>
              <w:t>选修</w:t>
            </w:r>
            <w:r>
              <w:rPr>
                <w:rFonts w:hint="eastAsia" w:ascii="Times New Roman" w:hAnsi="Times New Roman" w:cs="仿宋_GB2312"/>
                <w:szCs w:val="21"/>
                <w:lang w:val="zh-CN"/>
              </w:rPr>
              <w:t>）</w:t>
            </w:r>
          </w:p>
        </w:tc>
        <w:tc>
          <w:tcPr>
            <w:tcW w:w="93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cs="仿宋_GB2312"/>
                <w:szCs w:val="21"/>
                <w:lang w:val="zh-CN"/>
              </w:rPr>
            </w:pPr>
            <w:r>
              <w:rPr>
                <w:rFonts w:hint="eastAsia" w:ascii="Times New Roman" w:hAnsi="Times New Roman" w:cs="仿宋_GB2312"/>
                <w:szCs w:val="21"/>
                <w:lang w:val="zh-CN"/>
              </w:rPr>
              <w:t>7.0</w:t>
            </w:r>
          </w:p>
        </w:tc>
        <w:tc>
          <w:tcPr>
            <w:tcW w:w="1040" w:type="dxa"/>
            <w:vMerge w:val="continue"/>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cs="仿宋_GB2312"/>
                <w:szCs w:val="21"/>
                <w:lang w:val="zh-CN"/>
              </w:rPr>
            </w:pPr>
          </w:p>
        </w:tc>
        <w:tc>
          <w:tcPr>
            <w:tcW w:w="113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cs="仿宋_GB2312"/>
                <w:szCs w:val="21"/>
                <w:lang w:val="zh-CN"/>
              </w:rPr>
            </w:pPr>
            <w:r>
              <w:rPr>
                <w:rFonts w:hint="eastAsia" w:ascii="Times New Roman" w:hAnsi="Times New Roman" w:cs="仿宋_GB2312"/>
                <w:szCs w:val="21"/>
                <w:lang w:val="zh-CN"/>
              </w:rPr>
              <w:t>4.7</w:t>
            </w:r>
            <w:r>
              <w:rPr>
                <w:rFonts w:ascii="Times New Roman" w:hAnsi="Times New Roman" w:cs="仿宋_GB2312"/>
                <w:szCs w:val="21"/>
                <w:lang w:val="zh-CN"/>
              </w:rPr>
              <w:t>%</w:t>
            </w:r>
          </w:p>
        </w:tc>
        <w:tc>
          <w:tcPr>
            <w:tcW w:w="1050" w:type="dxa"/>
            <w:vMerge w:val="continue"/>
            <w:tcBorders>
              <w:top w:val="single" w:color="auto" w:sz="4" w:space="0"/>
              <w:left w:val="single" w:color="auto" w:sz="4" w:space="0"/>
              <w:bottom w:val="single" w:color="auto" w:sz="4" w:space="0"/>
            </w:tcBorders>
            <w:vAlign w:val="center"/>
          </w:tcPr>
          <w:p>
            <w:pPr>
              <w:autoSpaceDE w:val="0"/>
              <w:autoSpaceDN w:val="0"/>
              <w:adjustRightInd w:val="0"/>
              <w:spacing w:line="260" w:lineRule="exact"/>
              <w:jc w:val="center"/>
              <w:rPr>
                <w:rFonts w:ascii="Times New Roman" w:hAnsi="Times New Roman" w:cs="仿宋_GB2312"/>
                <w:szCs w:val="21"/>
                <w:lang w:val="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44" w:hRule="exact"/>
          <w:jc w:val="center"/>
        </w:trPr>
        <w:tc>
          <w:tcPr>
            <w:tcW w:w="1737" w:type="dxa"/>
            <w:vMerge w:val="restart"/>
            <w:tcBorders>
              <w:top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hint="eastAsia" w:ascii="Times New Roman" w:hAnsi="Times New Roman" w:cs="仿宋_GB2312"/>
                <w:szCs w:val="21"/>
              </w:rPr>
              <w:t>专业教育</w:t>
            </w:r>
            <w:r>
              <w:rPr>
                <w:rFonts w:ascii="Times New Roman" w:hAnsi="Times New Roman" w:cs="仿宋_GB2312"/>
                <w:szCs w:val="21"/>
                <w:lang w:val="zh-CN"/>
              </w:rPr>
              <w:t>课程</w:t>
            </w:r>
          </w:p>
        </w:tc>
        <w:tc>
          <w:tcPr>
            <w:tcW w:w="229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hint="eastAsia" w:ascii="Times New Roman" w:hAnsi="Times New Roman" w:cs="仿宋_GB2312"/>
                <w:szCs w:val="21"/>
              </w:rPr>
              <w:t>专业</w:t>
            </w:r>
            <w:r>
              <w:rPr>
                <w:rFonts w:ascii="Times New Roman" w:hAnsi="Times New Roman" w:cs="仿宋_GB2312"/>
                <w:szCs w:val="21"/>
                <w:lang w:val="zh-CN"/>
              </w:rPr>
              <w:t>基础课程</w:t>
            </w:r>
            <w:r>
              <w:rPr>
                <w:rFonts w:hint="eastAsia" w:ascii="Times New Roman" w:hAnsi="Times New Roman" w:cs="仿宋_GB2312"/>
                <w:szCs w:val="21"/>
                <w:lang w:val="zh-CN"/>
              </w:rPr>
              <w:t>（</w:t>
            </w:r>
            <w:r>
              <w:rPr>
                <w:rFonts w:ascii="Times New Roman" w:hAnsi="Times New Roman" w:cs="仿宋_GB2312"/>
                <w:szCs w:val="21"/>
                <w:lang w:val="zh-CN"/>
              </w:rPr>
              <w:t>必修</w:t>
            </w:r>
            <w:r>
              <w:rPr>
                <w:rFonts w:hint="eastAsia" w:ascii="Times New Roman" w:hAnsi="Times New Roman" w:cs="仿宋_GB2312"/>
                <w:szCs w:val="21"/>
                <w:lang w:val="zh-CN"/>
              </w:rPr>
              <w:t>）</w:t>
            </w:r>
          </w:p>
        </w:tc>
        <w:tc>
          <w:tcPr>
            <w:tcW w:w="93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cs="仿宋_GB2312"/>
                <w:szCs w:val="21"/>
              </w:rPr>
            </w:pPr>
            <w:r>
              <w:rPr>
                <w:rFonts w:hint="eastAsia" w:ascii="Times New Roman" w:hAnsi="Times New Roman" w:cs="仿宋_GB2312"/>
                <w:szCs w:val="21"/>
              </w:rPr>
              <w:t>27</w:t>
            </w:r>
            <w:r>
              <w:rPr>
                <w:rFonts w:hint="eastAsia" w:ascii="Times New Roman" w:hAnsi="Times New Roman" w:cs="仿宋_GB2312"/>
                <w:szCs w:val="21"/>
                <w:lang w:val="zh-CN"/>
              </w:rPr>
              <w:t>.0</w:t>
            </w:r>
          </w:p>
        </w:tc>
        <w:tc>
          <w:tcPr>
            <w:tcW w:w="1040" w:type="dxa"/>
            <w:vMerge w:val="restart"/>
            <w:tcBorders>
              <w:top w:val="single" w:color="auto" w:sz="4" w:space="0"/>
              <w:left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cs="仿宋_GB2312"/>
                <w:szCs w:val="21"/>
              </w:rPr>
            </w:pPr>
            <w:r>
              <w:rPr>
                <w:rFonts w:hint="eastAsia" w:ascii="Times New Roman" w:hAnsi="Times New Roman" w:cs="仿宋_GB2312"/>
                <w:szCs w:val="21"/>
              </w:rPr>
              <w:t>91</w:t>
            </w:r>
            <w:r>
              <w:rPr>
                <w:rFonts w:hint="eastAsia" w:ascii="Times New Roman" w:hAnsi="Times New Roman" w:cs="仿宋_GB2312"/>
                <w:szCs w:val="21"/>
                <w:lang w:val="zh-CN"/>
              </w:rPr>
              <w:t>.0</w:t>
            </w:r>
          </w:p>
        </w:tc>
        <w:tc>
          <w:tcPr>
            <w:tcW w:w="113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cs="仿宋_GB2312"/>
                <w:szCs w:val="21"/>
                <w:lang w:val="zh-CN"/>
              </w:rPr>
            </w:pPr>
            <w:r>
              <w:rPr>
                <w:rFonts w:hint="eastAsia" w:ascii="Times New Roman" w:hAnsi="Times New Roman" w:cs="仿宋_GB2312"/>
                <w:szCs w:val="21"/>
                <w:lang w:val="zh-CN"/>
              </w:rPr>
              <w:t>18.1</w:t>
            </w:r>
            <w:r>
              <w:rPr>
                <w:rFonts w:ascii="Times New Roman" w:hAnsi="Times New Roman" w:cs="仿宋_GB2312"/>
                <w:szCs w:val="21"/>
                <w:lang w:val="zh-CN"/>
              </w:rPr>
              <w:t>%</w:t>
            </w:r>
          </w:p>
        </w:tc>
        <w:tc>
          <w:tcPr>
            <w:tcW w:w="1050" w:type="dxa"/>
            <w:vMerge w:val="restart"/>
            <w:tcBorders>
              <w:top w:val="single" w:color="auto" w:sz="4" w:space="0"/>
              <w:left w:val="single" w:color="auto" w:sz="4" w:space="0"/>
            </w:tcBorders>
            <w:vAlign w:val="center"/>
          </w:tcPr>
          <w:p>
            <w:pPr>
              <w:autoSpaceDE w:val="0"/>
              <w:autoSpaceDN w:val="0"/>
              <w:adjustRightInd w:val="0"/>
              <w:spacing w:line="260" w:lineRule="exact"/>
              <w:jc w:val="center"/>
              <w:rPr>
                <w:rFonts w:ascii="Times New Roman" w:hAnsi="Times New Roman" w:cs="仿宋_GB2312"/>
                <w:szCs w:val="21"/>
                <w:lang w:val="zh-CN"/>
              </w:rPr>
            </w:pPr>
            <w:r>
              <w:rPr>
                <w:rFonts w:hint="eastAsia" w:ascii="Times New Roman" w:hAnsi="Times New Roman" w:cs="仿宋_GB2312"/>
                <w:szCs w:val="21"/>
                <w:lang w:val="zh-CN"/>
              </w:rPr>
              <w:t>61.0</w:t>
            </w:r>
            <w:r>
              <w:rPr>
                <w:rFonts w:ascii="Times New Roman" w:hAnsi="Times New Roman" w:cs="仿宋_GB2312"/>
                <w:szCs w:val="21"/>
                <w:lang w:val="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44" w:hRule="exact"/>
          <w:jc w:val="center"/>
        </w:trPr>
        <w:tc>
          <w:tcPr>
            <w:tcW w:w="1737" w:type="dxa"/>
            <w:vMerge w:val="continue"/>
            <w:tcBorders>
              <w:right w:val="single" w:color="auto" w:sz="4" w:space="0"/>
            </w:tcBorders>
            <w:vAlign w:val="center"/>
          </w:tcPr>
          <w:p>
            <w:pPr>
              <w:autoSpaceDE w:val="0"/>
              <w:autoSpaceDN w:val="0"/>
              <w:adjustRightInd w:val="0"/>
              <w:spacing w:line="260" w:lineRule="exact"/>
              <w:jc w:val="center"/>
              <w:rPr>
                <w:rFonts w:ascii="Times New Roman" w:hAnsi="Times New Roman" w:cs="仿宋_GB2312"/>
                <w:szCs w:val="21"/>
              </w:rPr>
            </w:pPr>
          </w:p>
        </w:tc>
        <w:tc>
          <w:tcPr>
            <w:tcW w:w="229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cs="仿宋_GB2312"/>
                <w:szCs w:val="21"/>
              </w:rPr>
            </w:pPr>
            <w:r>
              <w:rPr>
                <w:rFonts w:hint="eastAsia" w:ascii="Times New Roman" w:hAnsi="Times New Roman" w:cs="仿宋_GB2312"/>
                <w:szCs w:val="21"/>
              </w:rPr>
              <w:t>专业核心课程（必修）</w:t>
            </w:r>
          </w:p>
        </w:tc>
        <w:tc>
          <w:tcPr>
            <w:tcW w:w="93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cs="仿宋_GB2312"/>
                <w:szCs w:val="21"/>
              </w:rPr>
            </w:pPr>
            <w:r>
              <w:rPr>
                <w:rFonts w:hint="eastAsia" w:ascii="Times New Roman" w:hAnsi="Times New Roman" w:cs="仿宋_GB2312"/>
                <w:szCs w:val="21"/>
              </w:rPr>
              <w:t>29</w:t>
            </w:r>
            <w:r>
              <w:rPr>
                <w:rFonts w:hint="eastAsia" w:ascii="Times New Roman" w:hAnsi="Times New Roman" w:cs="仿宋_GB2312"/>
                <w:szCs w:val="21"/>
                <w:lang w:val="zh-CN"/>
              </w:rPr>
              <w:t>.0</w:t>
            </w:r>
          </w:p>
        </w:tc>
        <w:tc>
          <w:tcPr>
            <w:tcW w:w="1040" w:type="dxa"/>
            <w:vMerge w:val="continue"/>
            <w:tcBorders>
              <w:left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cs="仿宋_GB2312"/>
                <w:szCs w:val="21"/>
              </w:rPr>
            </w:pPr>
          </w:p>
        </w:tc>
        <w:tc>
          <w:tcPr>
            <w:tcW w:w="113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cs="仿宋_GB2312"/>
                <w:szCs w:val="21"/>
                <w:lang w:val="zh-CN"/>
              </w:rPr>
            </w:pPr>
            <w:r>
              <w:rPr>
                <w:rFonts w:hint="eastAsia" w:ascii="Times New Roman" w:hAnsi="Times New Roman" w:cs="仿宋_GB2312"/>
                <w:szCs w:val="21"/>
                <w:lang w:val="zh-CN"/>
              </w:rPr>
              <w:t>19.5</w:t>
            </w:r>
            <w:r>
              <w:rPr>
                <w:rFonts w:ascii="Times New Roman" w:hAnsi="Times New Roman" w:cs="仿宋_GB2312"/>
                <w:szCs w:val="21"/>
                <w:lang w:val="zh-CN"/>
              </w:rPr>
              <w:t>%</w:t>
            </w:r>
          </w:p>
        </w:tc>
        <w:tc>
          <w:tcPr>
            <w:tcW w:w="1050" w:type="dxa"/>
            <w:vMerge w:val="continue"/>
            <w:tcBorders>
              <w:left w:val="single" w:color="auto" w:sz="4" w:space="0"/>
            </w:tcBorders>
            <w:vAlign w:val="center"/>
          </w:tcPr>
          <w:p>
            <w:pPr>
              <w:autoSpaceDE w:val="0"/>
              <w:autoSpaceDN w:val="0"/>
              <w:adjustRightInd w:val="0"/>
              <w:spacing w:line="260" w:lineRule="exact"/>
              <w:jc w:val="center"/>
              <w:rPr>
                <w:rFonts w:ascii="Times New Roman" w:hAnsi="Times New Roman" w:cs="仿宋_GB2312"/>
                <w:szCs w:val="21"/>
                <w:lang w:val="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44" w:hRule="exact"/>
          <w:jc w:val="center"/>
        </w:trPr>
        <w:tc>
          <w:tcPr>
            <w:tcW w:w="1737" w:type="dxa"/>
            <w:vMerge w:val="continue"/>
            <w:tcBorders>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cs="仿宋_GB2312"/>
                <w:szCs w:val="21"/>
              </w:rPr>
            </w:pPr>
          </w:p>
        </w:tc>
        <w:tc>
          <w:tcPr>
            <w:tcW w:w="229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cs="仿宋_GB2312"/>
                <w:szCs w:val="21"/>
              </w:rPr>
            </w:pPr>
            <w:r>
              <w:rPr>
                <w:rFonts w:hint="eastAsia" w:ascii="Times New Roman" w:hAnsi="Times New Roman" w:cs="仿宋_GB2312"/>
                <w:szCs w:val="21"/>
              </w:rPr>
              <w:t>专业拓展课程（选修）</w:t>
            </w:r>
          </w:p>
        </w:tc>
        <w:tc>
          <w:tcPr>
            <w:tcW w:w="93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cs="仿宋_GB2312"/>
                <w:szCs w:val="21"/>
              </w:rPr>
            </w:pPr>
            <w:r>
              <w:rPr>
                <w:rFonts w:hint="eastAsia" w:ascii="Times New Roman" w:hAnsi="Times New Roman" w:cs="仿宋_GB2312"/>
                <w:szCs w:val="21"/>
              </w:rPr>
              <w:t>35</w:t>
            </w:r>
            <w:r>
              <w:rPr>
                <w:rFonts w:hint="eastAsia" w:ascii="Times New Roman" w:hAnsi="Times New Roman" w:cs="仿宋_GB2312"/>
                <w:szCs w:val="21"/>
                <w:lang w:val="zh-CN"/>
              </w:rPr>
              <w:t>.0</w:t>
            </w:r>
          </w:p>
        </w:tc>
        <w:tc>
          <w:tcPr>
            <w:tcW w:w="1040" w:type="dxa"/>
            <w:vMerge w:val="continue"/>
            <w:tcBorders>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cs="仿宋_GB2312"/>
                <w:szCs w:val="21"/>
              </w:rPr>
            </w:pPr>
          </w:p>
        </w:tc>
        <w:tc>
          <w:tcPr>
            <w:tcW w:w="113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cs="仿宋_GB2312"/>
                <w:szCs w:val="21"/>
                <w:lang w:val="zh-CN"/>
              </w:rPr>
            </w:pPr>
            <w:r>
              <w:rPr>
                <w:rFonts w:hint="eastAsia" w:ascii="Times New Roman" w:hAnsi="Times New Roman" w:cs="仿宋_GB2312"/>
                <w:szCs w:val="21"/>
                <w:lang w:val="zh-CN"/>
              </w:rPr>
              <w:t>23.5</w:t>
            </w:r>
            <w:r>
              <w:rPr>
                <w:rFonts w:ascii="Times New Roman" w:hAnsi="Times New Roman" w:cs="仿宋_GB2312"/>
                <w:szCs w:val="21"/>
                <w:lang w:val="zh-CN"/>
              </w:rPr>
              <w:t>%</w:t>
            </w:r>
          </w:p>
        </w:tc>
        <w:tc>
          <w:tcPr>
            <w:tcW w:w="1050" w:type="dxa"/>
            <w:vMerge w:val="continue"/>
            <w:tcBorders>
              <w:left w:val="single" w:color="auto" w:sz="4" w:space="0"/>
              <w:bottom w:val="single" w:color="auto" w:sz="4" w:space="0"/>
            </w:tcBorders>
            <w:vAlign w:val="center"/>
          </w:tcPr>
          <w:p>
            <w:pPr>
              <w:autoSpaceDE w:val="0"/>
              <w:autoSpaceDN w:val="0"/>
              <w:adjustRightInd w:val="0"/>
              <w:spacing w:line="260" w:lineRule="exact"/>
              <w:jc w:val="center"/>
              <w:rPr>
                <w:rFonts w:ascii="Times New Roman" w:hAnsi="Times New Roman" w:cs="仿宋_GB2312"/>
                <w:szCs w:val="21"/>
                <w:lang w:val="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70" w:hRule="exact"/>
          <w:jc w:val="center"/>
        </w:trPr>
        <w:tc>
          <w:tcPr>
            <w:tcW w:w="1737" w:type="dxa"/>
            <w:tcBorders>
              <w:top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kern w:val="0"/>
                <w:szCs w:val="21"/>
              </w:rPr>
            </w:pPr>
            <w:r>
              <w:rPr>
                <w:rFonts w:ascii="Times New Roman" w:hAnsi="Times New Roman" w:cs="仿宋_GB2312"/>
                <w:szCs w:val="21"/>
                <w:lang w:val="zh-CN"/>
              </w:rPr>
              <w:t>实践</w:t>
            </w:r>
            <w:r>
              <w:rPr>
                <w:rFonts w:hint="eastAsia" w:ascii="Times New Roman" w:hAnsi="Times New Roman" w:cs="仿宋_GB2312"/>
                <w:szCs w:val="21"/>
              </w:rPr>
              <w:t>教学</w:t>
            </w:r>
            <w:r>
              <w:rPr>
                <w:rFonts w:ascii="Times New Roman" w:hAnsi="Times New Roman" w:cs="仿宋_GB2312"/>
                <w:szCs w:val="21"/>
                <w:lang w:val="zh-CN"/>
              </w:rPr>
              <w:t>课程</w:t>
            </w:r>
          </w:p>
        </w:tc>
        <w:tc>
          <w:tcPr>
            <w:tcW w:w="229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cs="仿宋_GB2312"/>
                <w:szCs w:val="21"/>
                <w:lang w:val="zh-CN"/>
              </w:rPr>
            </w:pPr>
            <w:r>
              <w:rPr>
                <w:rFonts w:ascii="Times New Roman" w:hAnsi="Times New Roman" w:cs="仿宋_GB2312"/>
                <w:szCs w:val="21"/>
                <w:lang w:val="zh-CN"/>
              </w:rPr>
              <w:t>必修</w:t>
            </w:r>
          </w:p>
        </w:tc>
        <w:tc>
          <w:tcPr>
            <w:tcW w:w="93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hint="eastAsia" w:ascii="Times New Roman" w:hAnsi="Times New Roman"/>
                <w:szCs w:val="21"/>
              </w:rPr>
              <w:t>12</w:t>
            </w:r>
            <w:r>
              <w:rPr>
                <w:rFonts w:hint="eastAsia" w:ascii="Times New Roman" w:hAnsi="Times New Roman" w:cs="仿宋_GB2312"/>
                <w:szCs w:val="21"/>
                <w:lang w:val="zh-CN"/>
              </w:rPr>
              <w:t>.0</w:t>
            </w:r>
          </w:p>
        </w:tc>
        <w:tc>
          <w:tcPr>
            <w:tcW w:w="104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hint="eastAsia" w:ascii="Times New Roman" w:hAnsi="Times New Roman"/>
                <w:szCs w:val="21"/>
              </w:rPr>
              <w:t>12</w:t>
            </w:r>
            <w:r>
              <w:rPr>
                <w:rFonts w:hint="eastAsia" w:ascii="Times New Roman" w:hAnsi="Times New Roman" w:cs="仿宋_GB2312"/>
                <w:szCs w:val="21"/>
                <w:lang w:val="zh-CN"/>
              </w:rPr>
              <w:t>.0</w:t>
            </w:r>
          </w:p>
        </w:tc>
        <w:tc>
          <w:tcPr>
            <w:tcW w:w="113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cs="仿宋_GB2312"/>
                <w:szCs w:val="21"/>
                <w:lang w:val="zh-CN"/>
              </w:rPr>
            </w:pPr>
            <w:r>
              <w:rPr>
                <w:rFonts w:hint="eastAsia" w:ascii="Times New Roman" w:hAnsi="Times New Roman" w:cs="仿宋_GB2312"/>
                <w:szCs w:val="21"/>
                <w:lang w:val="zh-CN"/>
              </w:rPr>
              <w:t>8.1</w:t>
            </w:r>
            <w:r>
              <w:rPr>
                <w:rFonts w:ascii="Times New Roman" w:hAnsi="Times New Roman" w:cs="仿宋_GB2312"/>
                <w:szCs w:val="21"/>
                <w:lang w:val="zh-CN"/>
              </w:rPr>
              <w:t>%</w:t>
            </w:r>
          </w:p>
        </w:tc>
        <w:tc>
          <w:tcPr>
            <w:tcW w:w="1050" w:type="dxa"/>
            <w:tcBorders>
              <w:top w:val="single" w:color="auto" w:sz="4" w:space="0"/>
              <w:left w:val="single" w:color="auto" w:sz="4" w:space="0"/>
              <w:bottom w:val="single" w:color="auto" w:sz="4" w:space="0"/>
            </w:tcBorders>
            <w:vAlign w:val="center"/>
          </w:tcPr>
          <w:p>
            <w:pPr>
              <w:autoSpaceDE w:val="0"/>
              <w:autoSpaceDN w:val="0"/>
              <w:adjustRightInd w:val="0"/>
              <w:spacing w:line="260" w:lineRule="exact"/>
              <w:jc w:val="center"/>
              <w:rPr>
                <w:rFonts w:ascii="Times New Roman" w:hAnsi="Times New Roman" w:cs="仿宋_GB2312"/>
                <w:szCs w:val="21"/>
                <w:lang w:val="zh-CN"/>
              </w:rPr>
            </w:pPr>
            <w:r>
              <w:rPr>
                <w:rFonts w:hint="eastAsia" w:ascii="Times New Roman" w:hAnsi="Times New Roman" w:cs="仿宋_GB2312"/>
                <w:szCs w:val="21"/>
                <w:lang w:val="zh-CN"/>
              </w:rPr>
              <w:t>8.1</w:t>
            </w:r>
            <w:r>
              <w:rPr>
                <w:rFonts w:ascii="Times New Roman" w:hAnsi="Times New Roman" w:cs="仿宋_GB2312"/>
                <w:szCs w:val="21"/>
                <w:lang w:val="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42" w:hRule="exact"/>
          <w:jc w:val="center"/>
        </w:trPr>
        <w:tc>
          <w:tcPr>
            <w:tcW w:w="1737" w:type="dxa"/>
            <w:vMerge w:val="restart"/>
            <w:tcBorders>
              <w:top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ascii="Times New Roman" w:hAnsi="Times New Roman" w:cs="仿宋_GB2312"/>
                <w:szCs w:val="21"/>
                <w:lang w:val="zh-CN"/>
              </w:rPr>
              <w:t>合计</w:t>
            </w:r>
          </w:p>
        </w:tc>
        <w:tc>
          <w:tcPr>
            <w:tcW w:w="229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ascii="Times New Roman" w:hAnsi="Times New Roman" w:cs="仿宋_GB2312"/>
                <w:szCs w:val="21"/>
                <w:lang w:val="zh-CN"/>
              </w:rPr>
              <w:t>必修</w:t>
            </w:r>
          </w:p>
        </w:tc>
        <w:tc>
          <w:tcPr>
            <w:tcW w:w="93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hint="eastAsia" w:ascii="Times New Roman" w:hAnsi="Times New Roman"/>
                <w:szCs w:val="21"/>
              </w:rPr>
              <w:t>107</w:t>
            </w:r>
            <w:r>
              <w:rPr>
                <w:rFonts w:hint="eastAsia" w:ascii="Times New Roman" w:hAnsi="Times New Roman" w:cs="仿宋_GB2312"/>
                <w:szCs w:val="21"/>
                <w:lang w:val="zh-CN"/>
              </w:rPr>
              <w:t>.0</w:t>
            </w:r>
          </w:p>
        </w:tc>
        <w:tc>
          <w:tcPr>
            <w:tcW w:w="1040"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cs="仿宋_GB2312"/>
                <w:szCs w:val="21"/>
                <w:lang w:val="zh-CN"/>
              </w:rPr>
            </w:pPr>
            <w:r>
              <w:rPr>
                <w:rFonts w:hint="eastAsia" w:ascii="Times New Roman" w:hAnsi="Times New Roman" w:cs="仿宋_GB2312"/>
                <w:szCs w:val="21"/>
                <w:lang w:val="zh-CN"/>
              </w:rPr>
              <w:t>149.0</w:t>
            </w:r>
          </w:p>
        </w:tc>
        <w:tc>
          <w:tcPr>
            <w:tcW w:w="113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cs="仿宋_GB2312"/>
                <w:szCs w:val="21"/>
                <w:lang w:val="zh-CN"/>
              </w:rPr>
            </w:pPr>
            <w:r>
              <w:rPr>
                <w:rFonts w:hint="eastAsia" w:ascii="Times New Roman" w:hAnsi="Times New Roman" w:cs="仿宋_GB2312"/>
                <w:szCs w:val="21"/>
                <w:lang w:val="zh-CN"/>
              </w:rPr>
              <w:t>71.8</w:t>
            </w:r>
            <w:r>
              <w:rPr>
                <w:rFonts w:ascii="Times New Roman" w:hAnsi="Times New Roman" w:cs="仿宋_GB2312"/>
                <w:szCs w:val="21"/>
                <w:lang w:val="zh-CN"/>
              </w:rPr>
              <w:t>%</w:t>
            </w:r>
          </w:p>
        </w:tc>
        <w:tc>
          <w:tcPr>
            <w:tcW w:w="1050" w:type="dxa"/>
            <w:vMerge w:val="restart"/>
            <w:tcBorders>
              <w:top w:val="single" w:color="auto" w:sz="4" w:space="0"/>
              <w:left w:val="single" w:color="auto" w:sz="4" w:space="0"/>
              <w:bottom w:val="single" w:color="auto" w:sz="4" w:space="0"/>
            </w:tcBorders>
            <w:vAlign w:val="center"/>
          </w:tcPr>
          <w:p>
            <w:pPr>
              <w:autoSpaceDE w:val="0"/>
              <w:autoSpaceDN w:val="0"/>
              <w:adjustRightInd w:val="0"/>
              <w:spacing w:line="260" w:lineRule="exact"/>
              <w:jc w:val="center"/>
              <w:rPr>
                <w:rFonts w:ascii="Times New Roman" w:hAnsi="Times New Roman" w:cs="仿宋_GB2312"/>
                <w:szCs w:val="21"/>
                <w:lang w:val="zh-CN"/>
              </w:rPr>
            </w:pPr>
            <w:r>
              <w:rPr>
                <w:rFonts w:hint="eastAsia" w:ascii="Times New Roman" w:hAnsi="Times New Roman" w:cs="仿宋_GB2312"/>
                <w:szCs w:val="21"/>
                <w:lang w:val="zh-CN"/>
              </w:rPr>
              <w:t>100</w:t>
            </w:r>
            <w:r>
              <w:rPr>
                <w:rFonts w:ascii="Times New Roman" w:hAnsi="Times New Roman" w:cs="仿宋_GB2312"/>
                <w:szCs w:val="21"/>
                <w:lang w:val="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23" w:hRule="exact"/>
          <w:jc w:val="center"/>
        </w:trPr>
        <w:tc>
          <w:tcPr>
            <w:tcW w:w="1737" w:type="dxa"/>
            <w:vMerge w:val="continue"/>
            <w:tcBorders>
              <w:top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p>
        </w:tc>
        <w:tc>
          <w:tcPr>
            <w:tcW w:w="229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ascii="Times New Roman" w:hAnsi="Times New Roman" w:cs="仿宋_GB2312"/>
                <w:szCs w:val="21"/>
                <w:lang w:val="zh-CN"/>
              </w:rPr>
              <w:t>选修</w:t>
            </w:r>
          </w:p>
        </w:tc>
        <w:tc>
          <w:tcPr>
            <w:tcW w:w="93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r>
              <w:rPr>
                <w:rFonts w:hint="eastAsia" w:ascii="Times New Roman" w:hAnsi="Times New Roman"/>
                <w:szCs w:val="21"/>
              </w:rPr>
              <w:t>42</w:t>
            </w:r>
            <w:r>
              <w:rPr>
                <w:rFonts w:hint="eastAsia" w:ascii="Times New Roman" w:hAnsi="Times New Roman" w:cs="仿宋_GB2312"/>
                <w:szCs w:val="21"/>
                <w:lang w:val="zh-CN"/>
              </w:rPr>
              <w:t>.0</w:t>
            </w:r>
          </w:p>
        </w:tc>
        <w:tc>
          <w:tcPr>
            <w:tcW w:w="1040" w:type="dxa"/>
            <w:vMerge w:val="continue"/>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szCs w:val="21"/>
              </w:rPr>
            </w:pPr>
          </w:p>
        </w:tc>
        <w:tc>
          <w:tcPr>
            <w:tcW w:w="113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cs="仿宋_GB2312"/>
                <w:szCs w:val="21"/>
                <w:lang w:val="zh-CN"/>
              </w:rPr>
            </w:pPr>
            <w:r>
              <w:rPr>
                <w:rFonts w:hint="eastAsia" w:ascii="Times New Roman" w:hAnsi="Times New Roman" w:cs="仿宋_GB2312"/>
                <w:szCs w:val="21"/>
                <w:lang w:val="zh-CN"/>
              </w:rPr>
              <w:t>28.2</w:t>
            </w:r>
            <w:r>
              <w:rPr>
                <w:rFonts w:ascii="Times New Roman" w:hAnsi="Times New Roman" w:cs="仿宋_GB2312"/>
                <w:szCs w:val="21"/>
                <w:lang w:val="zh-CN"/>
              </w:rPr>
              <w:t>%</w:t>
            </w:r>
          </w:p>
        </w:tc>
        <w:tc>
          <w:tcPr>
            <w:tcW w:w="1050" w:type="dxa"/>
            <w:vMerge w:val="continue"/>
            <w:tcBorders>
              <w:top w:val="single" w:color="auto" w:sz="4" w:space="0"/>
              <w:left w:val="single" w:color="auto" w:sz="4" w:space="0"/>
              <w:bottom w:val="single" w:color="auto" w:sz="4" w:space="0"/>
            </w:tcBorders>
            <w:vAlign w:val="center"/>
          </w:tcPr>
          <w:p>
            <w:pPr>
              <w:autoSpaceDE w:val="0"/>
              <w:autoSpaceDN w:val="0"/>
              <w:adjustRightInd w:val="0"/>
              <w:spacing w:line="260" w:lineRule="exact"/>
              <w:jc w:val="center"/>
              <w:rPr>
                <w:rFonts w:ascii="Times New Roman" w:hAnsi="Times New Roman" w:cs="仿宋_GB2312"/>
                <w:szCs w:val="21"/>
                <w:lang w:val="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08" w:hRule="exact"/>
          <w:jc w:val="center"/>
        </w:trPr>
        <w:tc>
          <w:tcPr>
            <w:tcW w:w="4032" w:type="dxa"/>
            <w:gridSpan w:val="2"/>
            <w:tcBorders>
              <w:top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cs="仿宋_GB2312"/>
                <w:szCs w:val="21"/>
                <w:lang w:val="zh-CN"/>
              </w:rPr>
            </w:pPr>
            <w:r>
              <w:rPr>
                <w:rFonts w:hint="eastAsia" w:ascii="宋体" w:hAnsi="宋体" w:cs="宋体"/>
                <w:szCs w:val="21"/>
              </w:rPr>
              <w:t>实验实训及实践</w:t>
            </w:r>
            <w:r>
              <w:rPr>
                <w:rFonts w:ascii="Times New Roman" w:hAnsi="Times New Roman" w:cs="仿宋_GB2312"/>
                <w:szCs w:val="21"/>
                <w:lang w:val="zh-CN"/>
              </w:rPr>
              <w:t>学分</w:t>
            </w:r>
          </w:p>
        </w:tc>
        <w:tc>
          <w:tcPr>
            <w:tcW w:w="1972"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60" w:lineRule="exact"/>
              <w:jc w:val="center"/>
              <w:rPr>
                <w:rFonts w:ascii="Times New Roman" w:hAnsi="Times New Roman" w:cs="仿宋_GB2312"/>
                <w:szCs w:val="21"/>
                <w:lang w:val="zh-CN"/>
              </w:rPr>
            </w:pPr>
            <w:r>
              <w:rPr>
                <w:rFonts w:hint="eastAsia" w:ascii="Times New Roman" w:hAnsi="Times New Roman" w:cs="仿宋_GB2312"/>
                <w:szCs w:val="21"/>
                <w:lang w:val="zh-CN"/>
              </w:rPr>
              <w:t>51.0</w:t>
            </w:r>
          </w:p>
        </w:tc>
        <w:tc>
          <w:tcPr>
            <w:tcW w:w="2180" w:type="dxa"/>
            <w:gridSpan w:val="2"/>
            <w:tcBorders>
              <w:top w:val="single" w:color="auto" w:sz="4" w:space="0"/>
              <w:left w:val="single" w:color="auto" w:sz="4" w:space="0"/>
              <w:bottom w:val="single" w:color="auto" w:sz="4" w:space="0"/>
            </w:tcBorders>
            <w:vAlign w:val="center"/>
          </w:tcPr>
          <w:p>
            <w:pPr>
              <w:autoSpaceDE w:val="0"/>
              <w:autoSpaceDN w:val="0"/>
              <w:adjustRightInd w:val="0"/>
              <w:spacing w:line="260" w:lineRule="exact"/>
              <w:jc w:val="center"/>
              <w:rPr>
                <w:rFonts w:ascii="Times New Roman" w:hAnsi="Times New Roman" w:cs="仿宋_GB2312"/>
                <w:szCs w:val="21"/>
                <w:lang w:val="zh-CN"/>
              </w:rPr>
            </w:pPr>
            <w:r>
              <w:rPr>
                <w:rFonts w:hint="eastAsia" w:ascii="Times New Roman" w:hAnsi="Times New Roman" w:cs="仿宋_GB2312"/>
                <w:szCs w:val="21"/>
                <w:lang w:val="zh-CN"/>
              </w:rPr>
              <w:t>34.2%</w:t>
            </w:r>
          </w:p>
        </w:tc>
      </w:tr>
    </w:tbl>
    <w:p>
      <w:pPr>
        <w:spacing w:line="360" w:lineRule="auto"/>
        <w:ind w:firstLine="420" w:firstLineChars="200"/>
        <w:rPr>
          <w:rFonts w:hint="eastAsia" w:ascii="宋体" w:hAnsi="宋体" w:cs="宋体"/>
          <w:szCs w:val="21"/>
        </w:rPr>
      </w:pPr>
      <w:r>
        <w:rPr>
          <w:rFonts w:hint="eastAsia" w:ascii="宋体" w:hAnsi="宋体" w:cs="宋体"/>
          <w:szCs w:val="21"/>
        </w:rPr>
        <w:t>其中，选修课采用模块化开课与选课模式，其学分构成为：</w:t>
      </w:r>
    </w:p>
    <w:p>
      <w:pPr>
        <w:spacing w:line="400" w:lineRule="exact"/>
        <w:ind w:firstLine="422" w:firstLineChars="200"/>
        <w:rPr>
          <w:rFonts w:ascii="Times New Roman" w:hAnsi="Times New Roman"/>
          <w:b/>
          <w:bCs/>
          <w:szCs w:val="21"/>
        </w:rPr>
      </w:pPr>
      <w:r>
        <w:rPr>
          <w:rFonts w:ascii="Times New Roman" w:hAnsi="Times New Roman"/>
          <w:b/>
          <w:bCs/>
          <w:szCs w:val="21"/>
        </w:rPr>
        <w:t>专业</w:t>
      </w:r>
      <w:r>
        <w:rPr>
          <w:rFonts w:ascii="Times New Roman" w:hAnsi="Times New Roman"/>
          <w:szCs w:val="21"/>
        </w:rPr>
        <w:t>拓展</w:t>
      </w:r>
      <w:r>
        <w:rPr>
          <w:rFonts w:ascii="Times New Roman" w:hAnsi="Times New Roman"/>
          <w:b/>
          <w:bCs/>
          <w:szCs w:val="21"/>
        </w:rPr>
        <w:t>课程</w:t>
      </w:r>
      <w:r>
        <w:rPr>
          <w:rFonts w:hint="eastAsia" w:ascii="Times New Roman" w:hAnsi="Times New Roman"/>
          <w:b/>
          <w:bCs/>
          <w:szCs w:val="21"/>
        </w:rPr>
        <w:t>（</w:t>
      </w:r>
      <w:r>
        <w:rPr>
          <w:rFonts w:ascii="Times New Roman" w:hAnsi="Times New Roman"/>
          <w:b/>
          <w:bCs/>
          <w:szCs w:val="21"/>
        </w:rPr>
        <w:t xml:space="preserve">即选修课， </w:t>
      </w:r>
      <w:r>
        <w:rPr>
          <w:rFonts w:hint="eastAsia" w:ascii="Times New Roman" w:hAnsi="Times New Roman"/>
          <w:b/>
          <w:bCs/>
          <w:szCs w:val="21"/>
        </w:rPr>
        <w:t>35</w:t>
      </w:r>
      <w:r>
        <w:rPr>
          <w:rFonts w:ascii="Times New Roman" w:hAnsi="Times New Roman"/>
          <w:b/>
          <w:bCs/>
          <w:szCs w:val="21"/>
        </w:rPr>
        <w:t>学分）=</w:t>
      </w:r>
      <w:bookmarkStart w:id="125" w:name="OLE_LINK5"/>
      <w:r>
        <w:rPr>
          <w:rFonts w:ascii="Times New Roman" w:hAnsi="Times New Roman"/>
          <w:b/>
          <w:bCs/>
          <w:szCs w:val="21"/>
        </w:rPr>
        <w:t>理论拓展与提升模块（</w:t>
      </w:r>
      <w:r>
        <w:rPr>
          <w:rFonts w:hint="eastAsia" w:ascii="Times New Roman" w:hAnsi="Times New Roman"/>
          <w:b/>
          <w:bCs/>
          <w:szCs w:val="21"/>
        </w:rPr>
        <w:t>9</w:t>
      </w:r>
      <w:r>
        <w:rPr>
          <w:rFonts w:ascii="Times New Roman" w:hAnsi="Times New Roman"/>
          <w:b/>
          <w:bCs/>
          <w:szCs w:val="21"/>
        </w:rPr>
        <w:t>学分）+ 应用分析与拔高模块（1</w:t>
      </w:r>
      <w:r>
        <w:rPr>
          <w:rFonts w:hint="eastAsia" w:ascii="Times New Roman" w:hAnsi="Times New Roman"/>
          <w:b/>
          <w:bCs/>
          <w:szCs w:val="21"/>
        </w:rPr>
        <w:t>2</w:t>
      </w:r>
      <w:r>
        <w:rPr>
          <w:rFonts w:ascii="Times New Roman" w:hAnsi="Times New Roman"/>
          <w:b/>
          <w:bCs/>
          <w:szCs w:val="21"/>
        </w:rPr>
        <w:t>学分）+ 数字技能培养模块（</w:t>
      </w:r>
      <w:r>
        <w:rPr>
          <w:rFonts w:hint="eastAsia" w:ascii="Times New Roman" w:hAnsi="Times New Roman"/>
          <w:b/>
          <w:bCs/>
          <w:szCs w:val="21"/>
        </w:rPr>
        <w:t>8</w:t>
      </w:r>
      <w:r>
        <w:rPr>
          <w:rFonts w:ascii="Times New Roman" w:hAnsi="Times New Roman"/>
          <w:b/>
          <w:bCs/>
          <w:szCs w:val="21"/>
        </w:rPr>
        <w:t>学分）+任选课</w:t>
      </w:r>
      <w:bookmarkEnd w:id="125"/>
      <w:r>
        <w:rPr>
          <w:rFonts w:ascii="Times New Roman" w:hAnsi="Times New Roman"/>
          <w:b/>
          <w:bCs/>
          <w:szCs w:val="21"/>
        </w:rPr>
        <w:t>（6学分）</w:t>
      </w:r>
    </w:p>
    <w:p>
      <w:pPr>
        <w:spacing w:line="400" w:lineRule="exact"/>
        <w:ind w:firstLine="422" w:firstLineChars="200"/>
        <w:rPr>
          <w:rFonts w:hint="eastAsia" w:ascii="宋体" w:hAnsi="宋体" w:cs="宋体"/>
          <w:b/>
          <w:bCs/>
          <w:szCs w:val="21"/>
        </w:rPr>
      </w:pPr>
      <w:r>
        <w:rPr>
          <w:rFonts w:hint="eastAsia" w:ascii="宋体" w:hAnsi="宋体" w:cs="宋体"/>
          <w:b/>
          <w:bCs/>
          <w:szCs w:val="21"/>
        </w:rPr>
        <w:t>说明：</w:t>
      </w:r>
    </w:p>
    <w:p>
      <w:pPr>
        <w:spacing w:line="400" w:lineRule="exact"/>
        <w:ind w:firstLine="420" w:firstLineChars="200"/>
        <w:rPr>
          <w:rFonts w:hint="eastAsia" w:ascii="宋体" w:hAnsi="宋体" w:cs="宋体"/>
          <w:szCs w:val="21"/>
        </w:rPr>
      </w:pPr>
      <w:r>
        <w:rPr>
          <w:rFonts w:hint="eastAsia" w:ascii="宋体" w:hAnsi="宋体" w:cs="宋体"/>
          <w:szCs w:val="21"/>
        </w:rPr>
        <w:t>（1）上述等式右边括号内的学分是指该模块需选修的最低学分，如理论拓展与提升模块至少需修完9学分，应用分析与拔高模块至少需修完12学分，</w:t>
      </w:r>
      <w:r>
        <w:rPr>
          <w:rFonts w:ascii="宋体" w:hAnsi="宋体" w:cs="宋体"/>
          <w:szCs w:val="21"/>
        </w:rPr>
        <w:t>数字技能培养模块</w:t>
      </w:r>
      <w:r>
        <w:rPr>
          <w:rFonts w:hint="eastAsia" w:ascii="宋体" w:hAnsi="宋体" w:cs="宋体"/>
          <w:szCs w:val="21"/>
        </w:rPr>
        <w:t>至少需修完</w:t>
      </w:r>
      <w:r>
        <w:rPr>
          <w:rFonts w:ascii="宋体" w:hAnsi="宋体" w:cs="宋体"/>
          <w:szCs w:val="21"/>
        </w:rPr>
        <w:t>8学分</w:t>
      </w:r>
      <w:r>
        <w:rPr>
          <w:rFonts w:hint="eastAsia" w:ascii="宋体" w:hAnsi="宋体" w:cs="宋体"/>
          <w:szCs w:val="21"/>
        </w:rPr>
        <w:t>，以此类推；</w:t>
      </w:r>
    </w:p>
    <w:p>
      <w:pPr>
        <w:spacing w:line="400" w:lineRule="exact"/>
        <w:ind w:firstLine="420" w:firstLineChars="200"/>
        <w:rPr>
          <w:rFonts w:hint="eastAsia" w:ascii="宋体" w:hAnsi="宋体" w:cs="宋体"/>
          <w:szCs w:val="21"/>
        </w:rPr>
      </w:pPr>
      <w:r>
        <w:rPr>
          <w:rFonts w:hint="eastAsia" w:ascii="宋体" w:hAnsi="宋体" w:cs="宋体"/>
          <w:szCs w:val="21"/>
        </w:rPr>
        <w:t>（2）上述等式右边的“任选课”既可以是理论拓展与提升模块（9学分以外）、应用分析与拔高模块（12学分以外）、</w:t>
      </w:r>
      <w:r>
        <w:rPr>
          <w:rFonts w:ascii="宋体" w:hAnsi="宋体" w:cs="宋体"/>
          <w:szCs w:val="21"/>
        </w:rPr>
        <w:t>数字技能培养模块</w:t>
      </w:r>
      <w:r>
        <w:rPr>
          <w:rFonts w:hint="eastAsia" w:ascii="宋体" w:hAnsi="宋体" w:cs="宋体"/>
          <w:szCs w:val="21"/>
        </w:rPr>
        <w:t>（8学分以外）、专业素质拓展系列中的任一课程，也可以是学院其他专业（经济学、金融学、工商管理、会计学）的任一课程；</w:t>
      </w:r>
    </w:p>
    <w:p>
      <w:pPr>
        <w:spacing w:line="400" w:lineRule="exact"/>
        <w:ind w:firstLine="420" w:firstLineChars="200"/>
        <w:rPr>
          <w:rFonts w:hint="eastAsia" w:ascii="宋体" w:hAnsi="宋体" w:cs="宋体"/>
          <w:szCs w:val="21"/>
        </w:rPr>
      </w:pPr>
      <w:r>
        <w:rPr>
          <w:rFonts w:hint="eastAsia" w:ascii="宋体" w:hAnsi="宋体" w:cs="宋体"/>
          <w:szCs w:val="21"/>
        </w:rPr>
        <w:t>（3）任选课如超过6学分，则按6学分处理，多余学分不能冲抵其他系列学分；</w:t>
      </w:r>
    </w:p>
    <w:p>
      <w:pPr>
        <w:spacing w:line="400" w:lineRule="exact"/>
        <w:ind w:firstLine="420" w:firstLineChars="200"/>
        <w:rPr>
          <w:rFonts w:hint="eastAsia" w:ascii="宋体" w:hAnsi="宋体" w:cs="宋体"/>
          <w:szCs w:val="21"/>
        </w:rPr>
      </w:pPr>
      <w:r>
        <w:rPr>
          <w:rFonts w:hint="eastAsia" w:ascii="宋体" w:hAnsi="宋体" w:cs="宋体"/>
          <w:szCs w:val="21"/>
        </w:rPr>
        <w:t>（4）</w:t>
      </w:r>
      <w:r>
        <w:rPr>
          <w:rFonts w:hint="eastAsia" w:ascii="宋体" w:hAnsi="宋体" w:cs="宋体"/>
          <w:b/>
          <w:bCs/>
          <w:szCs w:val="21"/>
        </w:rPr>
        <w:t>学生不能向上跨高年级选课，</w:t>
      </w:r>
      <w:r>
        <w:rPr>
          <w:rFonts w:hint="eastAsia" w:ascii="宋体" w:hAnsi="宋体" w:cs="宋体"/>
          <w:szCs w:val="21"/>
        </w:rPr>
        <w:t>如大二学生不可选修本专业或其他专业大三大四年级开设的课程，但可向下跨低年级选课；</w:t>
      </w:r>
    </w:p>
    <w:p>
      <w:pPr>
        <w:spacing w:line="360" w:lineRule="auto"/>
        <w:rPr>
          <w:rFonts w:hint="eastAsia" w:ascii="宋体" w:hAnsi="宋体" w:cs="宋体"/>
          <w:b/>
          <w:bCs/>
          <w:szCs w:val="21"/>
        </w:rPr>
      </w:pPr>
      <w:r>
        <w:rPr>
          <w:rFonts w:hint="eastAsia" w:ascii="宋体" w:hAnsi="宋体" w:cs="宋体"/>
          <w:b/>
          <w:bCs/>
          <w:szCs w:val="21"/>
        </w:rPr>
        <w:t>十、课程设置计划</w:t>
      </w:r>
    </w:p>
    <w:p>
      <w:pPr>
        <w:spacing w:line="360" w:lineRule="auto"/>
        <w:rPr>
          <w:rFonts w:hint="eastAsia" w:ascii="宋体" w:hAnsi="宋体" w:cs="宋体"/>
          <w:b/>
          <w:bCs/>
          <w:szCs w:val="21"/>
        </w:rPr>
      </w:pPr>
      <w:bookmarkStart w:id="126" w:name="_Hlk138191552"/>
      <w:r>
        <w:rPr>
          <w:rFonts w:hint="eastAsia" w:ascii="宋体" w:hAnsi="宋体" w:cs="宋体"/>
          <w:b/>
          <w:bCs/>
          <w:szCs w:val="21"/>
        </w:rPr>
        <w:t>（一）专业课课程地图</w:t>
      </w:r>
      <w:bookmarkEnd w:id="126"/>
    </w:p>
    <w:p>
      <w:pPr>
        <w:spacing w:line="360" w:lineRule="auto"/>
        <w:ind w:firstLine="420" w:firstLineChars="200"/>
        <w:rPr>
          <w:rFonts w:hint="eastAsia" w:ascii="宋体" w:hAnsi="宋体" w:cs="宋体"/>
          <w:b/>
          <w:bCs/>
          <w:szCs w:val="21"/>
        </w:rPr>
      </w:pPr>
      <w:r>
        <w:drawing>
          <wp:inline distT="0" distB="0" distL="0" distR="0">
            <wp:extent cx="4667250" cy="3293110"/>
            <wp:effectExtent l="0" t="0" r="0" b="2540"/>
            <wp:docPr id="13590305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030564" name="图片 1"/>
                    <pic:cNvPicPr>
                      <a:picLocks noChangeAspect="1"/>
                    </pic:cNvPicPr>
                  </pic:nvPicPr>
                  <pic:blipFill>
                    <a:blip r:embed="rId22"/>
                    <a:stretch>
                      <a:fillRect/>
                    </a:stretch>
                  </pic:blipFill>
                  <pic:spPr>
                    <a:xfrm>
                      <a:off x="0" y="0"/>
                      <a:ext cx="4673423" cy="3297728"/>
                    </a:xfrm>
                    <a:prstGeom prst="rect">
                      <a:avLst/>
                    </a:prstGeom>
                  </pic:spPr>
                </pic:pic>
              </a:graphicData>
            </a:graphic>
          </wp:inline>
        </w:drawing>
      </w:r>
    </w:p>
    <w:p>
      <w:pPr>
        <w:spacing w:line="360" w:lineRule="auto"/>
        <w:rPr>
          <w:rFonts w:hint="eastAsia" w:ascii="宋体" w:hAnsi="宋体" w:cs="宋体"/>
          <w:b/>
          <w:bCs/>
          <w:szCs w:val="21"/>
        </w:rPr>
      </w:pPr>
    </w:p>
    <w:p>
      <w:pPr>
        <w:spacing w:line="360" w:lineRule="auto"/>
        <w:rPr>
          <w:rFonts w:hint="eastAsia" w:ascii="宋体" w:hAnsi="宋体" w:cs="宋体"/>
          <w:b/>
          <w:bCs/>
          <w:szCs w:val="21"/>
        </w:rPr>
      </w:pPr>
      <w:r>
        <w:rPr>
          <w:rFonts w:hint="eastAsia" w:ascii="宋体" w:hAnsi="宋体" w:cs="宋体"/>
          <w:b/>
          <w:bCs/>
          <w:szCs w:val="21"/>
        </w:rPr>
        <w:t>（二）课程设置计划</w:t>
      </w:r>
    </w:p>
    <w:p>
      <w:pPr>
        <w:spacing w:line="360" w:lineRule="auto"/>
        <w:rPr>
          <w:rFonts w:hint="eastAsia" w:ascii="宋体" w:hAnsi="宋体" w:cs="宋体"/>
          <w:szCs w:val="21"/>
        </w:rPr>
      </w:pPr>
      <w:r>
        <w:rPr>
          <w:rFonts w:hint="eastAsia" w:ascii="宋体" w:hAnsi="宋体" w:cs="宋体"/>
          <w:szCs w:val="21"/>
        </w:rPr>
        <w:t>见附表：1.经济管理学院数字经济专业课程设置计划总表</w:t>
      </w:r>
    </w:p>
    <w:p>
      <w:pPr>
        <w:spacing w:line="360" w:lineRule="auto"/>
        <w:rPr>
          <w:rFonts w:hint="eastAsia" w:ascii="宋体" w:hAnsi="宋体" w:cs="宋体"/>
          <w:szCs w:val="21"/>
        </w:rPr>
      </w:pPr>
      <w:r>
        <w:rPr>
          <w:rFonts w:hint="eastAsia" w:ascii="宋体" w:hAnsi="宋体" w:cs="宋体"/>
          <w:szCs w:val="21"/>
        </w:rPr>
        <w:t xml:space="preserve">        2.课程体系对毕业要求指标点支撑矩阵图</w:t>
      </w:r>
    </w:p>
    <w:p>
      <w:pPr>
        <w:snapToGrid w:val="0"/>
        <w:spacing w:line="360" w:lineRule="auto"/>
        <w:ind w:left="1890" w:leftChars="900"/>
        <w:rPr>
          <w:rFonts w:hint="eastAsia" w:ascii="宋体" w:hAnsi="宋体" w:cs="宋体"/>
          <w:bCs/>
          <w:spacing w:val="-2"/>
          <w:szCs w:val="21"/>
        </w:rPr>
      </w:pPr>
      <w:bookmarkStart w:id="127" w:name="_Hlk13471225"/>
    </w:p>
    <w:bookmarkEnd w:id="127"/>
    <w:p>
      <w:pPr>
        <w:spacing w:line="360" w:lineRule="auto"/>
        <w:rPr>
          <w:rFonts w:hint="eastAsia" w:ascii="宋体" w:hAnsi="宋体" w:cs="宋体"/>
          <w:szCs w:val="21"/>
        </w:rPr>
        <w:sectPr>
          <w:footerReference r:id="rId13" w:type="default"/>
          <w:footnotePr>
            <w:numFmt w:val="decimalEnclosedCircleChinese"/>
            <w:numRestart w:val="eachPage"/>
          </w:footnotePr>
          <w:pgSz w:w="11906" w:h="16838"/>
          <w:pgMar w:top="1440" w:right="1800" w:bottom="1440" w:left="1800" w:header="851" w:footer="992" w:gutter="0"/>
          <w:pgNumType w:start="1"/>
          <w:cols w:space="425" w:num="1"/>
          <w:docGrid w:type="lines" w:linePitch="312" w:charSpace="0"/>
        </w:sectPr>
      </w:pPr>
    </w:p>
    <w:tbl>
      <w:tblPr>
        <w:tblStyle w:val="40"/>
        <w:tblW w:w="16237" w:type="dxa"/>
        <w:jc w:val="center"/>
        <w:tblLayout w:type="fixed"/>
        <w:tblCellMar>
          <w:top w:w="0" w:type="dxa"/>
          <w:left w:w="108" w:type="dxa"/>
          <w:bottom w:w="0" w:type="dxa"/>
          <w:right w:w="108" w:type="dxa"/>
        </w:tblCellMar>
      </w:tblPr>
      <w:tblGrid>
        <w:gridCol w:w="1100"/>
        <w:gridCol w:w="1435"/>
        <w:gridCol w:w="1276"/>
        <w:gridCol w:w="377"/>
        <w:gridCol w:w="1771"/>
        <w:gridCol w:w="1963"/>
        <w:gridCol w:w="616"/>
        <w:gridCol w:w="658"/>
        <w:gridCol w:w="869"/>
        <w:gridCol w:w="869"/>
        <w:gridCol w:w="840"/>
        <w:gridCol w:w="849"/>
        <w:gridCol w:w="959"/>
        <w:gridCol w:w="1290"/>
        <w:gridCol w:w="1365"/>
      </w:tblGrid>
      <w:tr>
        <w:tblPrEx>
          <w:tblCellMar>
            <w:top w:w="0" w:type="dxa"/>
            <w:left w:w="108" w:type="dxa"/>
            <w:bottom w:w="0" w:type="dxa"/>
            <w:right w:w="108" w:type="dxa"/>
          </w:tblCellMar>
        </w:tblPrEx>
        <w:trPr>
          <w:trHeight w:val="433" w:hRule="exact"/>
          <w:jc w:val="center"/>
        </w:trPr>
        <w:tc>
          <w:tcPr>
            <w:tcW w:w="16237" w:type="dxa"/>
            <w:gridSpan w:val="15"/>
            <w:shd w:val="clear" w:color="auto" w:fill="FFFFFF"/>
            <w:tcMar>
              <w:left w:w="0" w:type="dxa"/>
              <w:right w:w="0" w:type="dxa"/>
            </w:tcMar>
            <w:vAlign w:val="center"/>
          </w:tcPr>
          <w:p>
            <w:pPr>
              <w:wordWrap w:val="0"/>
              <w:autoSpaceDE w:val="0"/>
              <w:autoSpaceDN w:val="0"/>
              <w:jc w:val="center"/>
            </w:pPr>
            <w:r>
              <w:rPr>
                <w:rFonts w:hint="eastAsia" w:ascii="黑体" w:eastAsia="黑体"/>
                <w:sz w:val="32"/>
                <w:szCs w:val="28"/>
              </w:rPr>
              <w:t>经济管理学院2025级数字经济（无方向）课程设置计划总表</w:t>
            </w:r>
          </w:p>
        </w:tc>
      </w:tr>
      <w:tr>
        <w:tblPrEx>
          <w:tblCellMar>
            <w:top w:w="0" w:type="dxa"/>
            <w:left w:w="108" w:type="dxa"/>
            <w:bottom w:w="0" w:type="dxa"/>
            <w:right w:w="108" w:type="dxa"/>
          </w:tblCellMar>
        </w:tblPrEx>
        <w:trPr>
          <w:trHeight w:val="342" w:hRule="exact"/>
          <w:jc w:val="center"/>
        </w:trPr>
        <w:tc>
          <w:tcPr>
            <w:tcW w:w="3811" w:type="dxa"/>
            <w:gridSpan w:val="3"/>
            <w:tcBorders>
              <w:bottom w:val="single" w:color="auto" w:sz="4" w:space="0"/>
            </w:tcBorders>
            <w:shd w:val="clear" w:color="auto" w:fill="FFFFFF"/>
            <w:tcMar>
              <w:left w:w="0" w:type="dxa"/>
              <w:right w:w="0" w:type="dxa"/>
            </w:tcMar>
            <w:vAlign w:val="center"/>
          </w:tcPr>
          <w:p>
            <w:pPr>
              <w:wordWrap w:val="0"/>
              <w:autoSpaceDE w:val="0"/>
              <w:autoSpaceDN w:val="0"/>
              <w:jc w:val="center"/>
            </w:pPr>
            <w:r>
              <w:rPr>
                <w:rFonts w:hint="eastAsia" w:ascii="宋体"/>
                <w:b/>
                <w:sz w:val="24"/>
                <w:szCs w:val="28"/>
              </w:rPr>
              <w:t>一、通识教育课程平台</w:t>
            </w:r>
          </w:p>
        </w:tc>
        <w:tc>
          <w:tcPr>
            <w:tcW w:w="8812" w:type="dxa"/>
            <w:gridSpan w:val="9"/>
            <w:tcBorders>
              <w:bottom w:val="single" w:color="auto" w:sz="4" w:space="0"/>
            </w:tcBorders>
            <w:shd w:val="clear" w:color="auto" w:fill="FFFFFF"/>
            <w:tcMar>
              <w:left w:w="0" w:type="dxa"/>
              <w:right w:w="0" w:type="dxa"/>
            </w:tcMar>
            <w:vAlign w:val="bottom"/>
          </w:tcPr>
          <w:p>
            <w:pPr>
              <w:wordWrap w:val="0"/>
              <w:autoSpaceDE w:val="0"/>
              <w:autoSpaceDN w:val="0"/>
              <w:jc w:val="center"/>
            </w:pPr>
          </w:p>
        </w:tc>
        <w:tc>
          <w:tcPr>
            <w:tcW w:w="959" w:type="dxa"/>
            <w:tcBorders>
              <w:bottom w:val="single" w:color="auto" w:sz="4" w:space="0"/>
            </w:tcBorders>
            <w:shd w:val="clear" w:color="auto" w:fill="FFFFFF"/>
            <w:tcMar>
              <w:left w:w="0" w:type="dxa"/>
              <w:right w:w="0" w:type="dxa"/>
            </w:tcMar>
            <w:vAlign w:val="center"/>
          </w:tcPr>
          <w:p>
            <w:pPr>
              <w:wordWrap w:val="0"/>
              <w:autoSpaceDE w:val="0"/>
              <w:autoSpaceDN w:val="0"/>
              <w:jc w:val="center"/>
            </w:pPr>
          </w:p>
        </w:tc>
        <w:tc>
          <w:tcPr>
            <w:tcW w:w="1290" w:type="dxa"/>
            <w:tcBorders>
              <w:bottom w:val="single" w:color="auto" w:sz="4" w:space="0"/>
            </w:tcBorders>
            <w:shd w:val="clear" w:color="auto" w:fill="FFFFFF"/>
            <w:tcMar>
              <w:left w:w="0" w:type="dxa"/>
              <w:right w:w="0" w:type="dxa"/>
            </w:tcMar>
            <w:vAlign w:val="center"/>
          </w:tcPr>
          <w:p>
            <w:pPr>
              <w:wordWrap w:val="0"/>
              <w:autoSpaceDE w:val="0"/>
              <w:autoSpaceDN w:val="0"/>
              <w:jc w:val="center"/>
            </w:pPr>
          </w:p>
        </w:tc>
        <w:tc>
          <w:tcPr>
            <w:tcW w:w="1365" w:type="dxa"/>
            <w:tcBorders>
              <w:bottom w:val="single" w:color="auto" w:sz="4" w:space="0"/>
            </w:tcBorders>
            <w:shd w:val="clear" w:color="auto" w:fill="FFFFFF"/>
            <w:tcMar>
              <w:left w:w="0" w:type="dxa"/>
              <w:right w:w="0" w:type="dxa"/>
            </w:tcMar>
            <w:vAlign w:val="center"/>
          </w:tcPr>
          <w:p>
            <w:pPr>
              <w:wordWrap w:val="0"/>
              <w:autoSpaceDE w:val="0"/>
              <w:autoSpaceDN w:val="0"/>
              <w:jc w:val="center"/>
            </w:pPr>
          </w:p>
        </w:tc>
      </w:tr>
      <w:tr>
        <w:tblPrEx>
          <w:tblCellMar>
            <w:top w:w="0" w:type="dxa"/>
            <w:left w:w="108" w:type="dxa"/>
            <w:bottom w:w="0" w:type="dxa"/>
            <w:right w:w="108" w:type="dxa"/>
          </w:tblCellMar>
        </w:tblPrEx>
        <w:trPr>
          <w:trHeight w:val="560"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课程代码</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课程类别</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课程中文名称</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课程英文名称</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总学分</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总学时</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理论讲授</w:t>
            </w:r>
          </w:p>
          <w:p>
            <w:pPr>
              <w:wordWrap w:val="0"/>
              <w:autoSpaceDE w:val="0"/>
              <w:autoSpaceDN w:val="0"/>
              <w:jc w:val="center"/>
              <w:rPr>
                <w:rFonts w:ascii="Times New Roman" w:hAnsi="Times New Roman"/>
              </w:rPr>
            </w:pPr>
            <w:r>
              <w:rPr>
                <w:rFonts w:ascii="Times New Roman" w:hAnsi="Times New Roman"/>
                <w:sz w:val="18"/>
                <w:szCs w:val="28"/>
              </w:rPr>
              <w:t>学时</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实验实训</w:t>
            </w:r>
          </w:p>
          <w:p>
            <w:pPr>
              <w:wordWrap w:val="0"/>
              <w:autoSpaceDE w:val="0"/>
              <w:autoSpaceDN w:val="0"/>
              <w:jc w:val="center"/>
              <w:rPr>
                <w:rFonts w:ascii="Times New Roman" w:hAnsi="Times New Roman"/>
              </w:rPr>
            </w:pPr>
            <w:r>
              <w:rPr>
                <w:rFonts w:ascii="Times New Roman" w:hAnsi="Times New Roman"/>
                <w:sz w:val="18"/>
                <w:szCs w:val="28"/>
              </w:rPr>
              <w:t>学时</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考试学期</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考核方式</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课程性质</w:t>
            </w:r>
          </w:p>
        </w:tc>
        <w:tc>
          <w:tcPr>
            <w:tcW w:w="2655"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开课单位</w:t>
            </w:r>
          </w:p>
        </w:tc>
      </w:tr>
      <w:tr>
        <w:tblPrEx>
          <w:tblCellMar>
            <w:top w:w="0" w:type="dxa"/>
            <w:left w:w="108" w:type="dxa"/>
            <w:bottom w:w="0" w:type="dxa"/>
            <w:right w:w="108" w:type="dxa"/>
          </w:tblCellMar>
        </w:tblPrEx>
        <w:trPr>
          <w:trHeight w:val="28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TB28003010</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国家安全教育</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National Security Education</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1.0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16</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12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4</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1</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理论课</w:t>
            </w:r>
          </w:p>
        </w:tc>
        <w:tc>
          <w:tcPr>
            <w:tcW w:w="2655"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党委武装部/保卫处</w:t>
            </w:r>
          </w:p>
        </w:tc>
      </w:tr>
      <w:tr>
        <w:tblPrEx>
          <w:tblCellMar>
            <w:top w:w="0" w:type="dxa"/>
            <w:left w:w="108" w:type="dxa"/>
            <w:bottom w:w="0" w:type="dxa"/>
            <w:right w:w="108" w:type="dxa"/>
          </w:tblCellMar>
        </w:tblPrEx>
        <w:trPr>
          <w:trHeight w:val="56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TB28002800</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中华民族共同体概论</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pPr>
            <w:r>
              <w:rPr>
                <w:rFonts w:hint="eastAsia" w:ascii="宋体"/>
                <w:color w:val="000000"/>
                <w:sz w:val="18"/>
                <w:szCs w:val="28"/>
              </w:rPr>
              <w:t xml:space="preserve">An Introduction to the Chinese </w:t>
            </w:r>
          </w:p>
          <w:p>
            <w:pPr>
              <w:wordWrap w:val="0"/>
              <w:autoSpaceDE w:val="0"/>
              <w:autoSpaceDN w:val="0"/>
              <w:jc w:val="center"/>
              <w:rPr>
                <w:rFonts w:ascii="Times New Roman" w:hAnsi="Times New Roman"/>
              </w:rPr>
            </w:pPr>
            <w:r>
              <w:rPr>
                <w:rFonts w:hint="eastAsia" w:ascii="宋体"/>
                <w:color w:val="000000"/>
                <w:sz w:val="18"/>
                <w:szCs w:val="28"/>
              </w:rPr>
              <w:t>National Community</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1</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理论课</w:t>
            </w:r>
          </w:p>
        </w:tc>
        <w:tc>
          <w:tcPr>
            <w:tcW w:w="2655"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教育学部/教师教育学院</w:t>
            </w:r>
          </w:p>
        </w:tc>
      </w:tr>
      <w:tr>
        <w:tblPrEx>
          <w:tblCellMar>
            <w:top w:w="0" w:type="dxa"/>
            <w:left w:w="108" w:type="dxa"/>
            <w:bottom w:w="0" w:type="dxa"/>
            <w:right w:w="108" w:type="dxa"/>
          </w:tblCellMar>
        </w:tblPrEx>
        <w:trPr>
          <w:trHeight w:val="28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TB15001121</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中国近现代史纲要</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pPr>
            <w:r>
              <w:rPr>
                <w:rFonts w:hint="eastAsia" w:ascii="宋体"/>
                <w:color w:val="000000"/>
                <w:sz w:val="18"/>
                <w:szCs w:val="28"/>
              </w:rPr>
              <w:t xml:space="preserve">The Introduction to Modern and </w:t>
            </w:r>
          </w:p>
          <w:p>
            <w:pPr>
              <w:wordWrap w:val="0"/>
              <w:autoSpaceDE w:val="0"/>
              <w:autoSpaceDN w:val="0"/>
              <w:jc w:val="center"/>
              <w:rPr>
                <w:rFonts w:ascii="Times New Roman" w:hAnsi="Times New Roman"/>
              </w:rPr>
            </w:pPr>
            <w:r>
              <w:rPr>
                <w:rFonts w:hint="eastAsia" w:ascii="宋体"/>
                <w:color w:val="000000"/>
                <w:sz w:val="18"/>
                <w:szCs w:val="28"/>
              </w:rPr>
              <w:t>Contemporary History of China</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3.0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48</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36</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12</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1</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考试</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理论课</w:t>
            </w:r>
          </w:p>
        </w:tc>
        <w:tc>
          <w:tcPr>
            <w:tcW w:w="2655"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马克思主义学院（公共课）</w:t>
            </w:r>
          </w:p>
        </w:tc>
      </w:tr>
      <w:tr>
        <w:tblPrEx>
          <w:tblCellMar>
            <w:top w:w="0" w:type="dxa"/>
            <w:left w:w="108" w:type="dxa"/>
            <w:bottom w:w="0" w:type="dxa"/>
            <w:right w:w="108" w:type="dxa"/>
          </w:tblCellMar>
        </w:tblPrEx>
        <w:trPr>
          <w:trHeight w:val="56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TB28002910</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军事理论</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Military course</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27</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5</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1</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考试</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理论课</w:t>
            </w:r>
          </w:p>
        </w:tc>
        <w:tc>
          <w:tcPr>
            <w:tcW w:w="2655"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党委武装部/保卫处</w:t>
            </w:r>
          </w:p>
        </w:tc>
      </w:tr>
      <w:tr>
        <w:tblPrEx>
          <w:tblCellMar>
            <w:top w:w="0" w:type="dxa"/>
            <w:left w:w="108" w:type="dxa"/>
            <w:bottom w:w="0" w:type="dxa"/>
            <w:right w:w="108" w:type="dxa"/>
          </w:tblCellMar>
        </w:tblPrEx>
        <w:trPr>
          <w:trHeight w:val="82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TB15001171</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pPr>
            <w:r>
              <w:rPr>
                <w:rFonts w:hint="eastAsia" w:ascii="宋体"/>
                <w:color w:val="000000"/>
                <w:sz w:val="18"/>
                <w:szCs w:val="28"/>
              </w:rPr>
              <w:t>习近平新时代中国特色社</w:t>
            </w:r>
          </w:p>
          <w:p>
            <w:pPr>
              <w:wordWrap w:val="0"/>
              <w:autoSpaceDE w:val="0"/>
              <w:autoSpaceDN w:val="0"/>
              <w:jc w:val="center"/>
              <w:rPr>
                <w:rFonts w:ascii="Times New Roman" w:hAnsi="Times New Roman"/>
              </w:rPr>
            </w:pPr>
            <w:r>
              <w:rPr>
                <w:rFonts w:hint="eastAsia" w:ascii="宋体"/>
                <w:color w:val="000000"/>
                <w:sz w:val="18"/>
                <w:szCs w:val="28"/>
              </w:rPr>
              <w:t>会主义思想概论</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Introduction to Xi Jinping's  Socialist Thought with Chinese  Characteristics in the New Era</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3.0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48</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48</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1</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考试</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理论课</w:t>
            </w:r>
          </w:p>
        </w:tc>
        <w:tc>
          <w:tcPr>
            <w:tcW w:w="2655"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马克思主义学院（公共课）</w:t>
            </w:r>
          </w:p>
        </w:tc>
      </w:tr>
      <w:tr>
        <w:tblPrEx>
          <w:tblCellMar>
            <w:top w:w="0" w:type="dxa"/>
            <w:left w:w="108" w:type="dxa"/>
            <w:bottom w:w="0" w:type="dxa"/>
            <w:right w:w="108" w:type="dxa"/>
          </w:tblCellMar>
        </w:tblPrEx>
        <w:trPr>
          <w:trHeight w:val="28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TB14001011</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公共体育（1）</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Physical Education 1</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0.5</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24</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22</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1</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考试</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术科课</w:t>
            </w:r>
          </w:p>
        </w:tc>
        <w:tc>
          <w:tcPr>
            <w:tcW w:w="2655"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公体部</w:t>
            </w:r>
          </w:p>
        </w:tc>
      </w:tr>
      <w:tr>
        <w:tblPrEx>
          <w:tblCellMar>
            <w:top w:w="0" w:type="dxa"/>
            <w:left w:w="108" w:type="dxa"/>
            <w:bottom w:w="0" w:type="dxa"/>
            <w:right w:w="108" w:type="dxa"/>
          </w:tblCellMar>
        </w:tblPrEx>
        <w:trPr>
          <w:trHeight w:val="28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TB13001011</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大学英语I</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College English I</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1</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考试</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理论课</w:t>
            </w:r>
          </w:p>
        </w:tc>
        <w:tc>
          <w:tcPr>
            <w:tcW w:w="2655"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外国语学院（公共课）</w:t>
            </w:r>
          </w:p>
        </w:tc>
      </w:tr>
      <w:tr>
        <w:tblPrEx>
          <w:tblCellMar>
            <w:top w:w="0" w:type="dxa"/>
            <w:left w:w="108" w:type="dxa"/>
            <w:bottom w:w="0" w:type="dxa"/>
            <w:right w:w="108" w:type="dxa"/>
          </w:tblCellMar>
        </w:tblPrEx>
        <w:trPr>
          <w:trHeight w:val="56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TB20001024</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大学生心理健康</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pPr>
            <w:r>
              <w:rPr>
                <w:rFonts w:hint="eastAsia" w:ascii="宋体"/>
                <w:color w:val="000000"/>
                <w:sz w:val="18"/>
                <w:szCs w:val="28"/>
              </w:rPr>
              <w:t xml:space="preserve">Psychological Health Of College </w:t>
            </w:r>
          </w:p>
          <w:p>
            <w:pPr>
              <w:wordWrap w:val="0"/>
              <w:autoSpaceDE w:val="0"/>
              <w:autoSpaceDN w:val="0"/>
              <w:jc w:val="center"/>
              <w:rPr>
                <w:rFonts w:ascii="Times New Roman" w:hAnsi="Times New Roman"/>
              </w:rPr>
            </w:pPr>
            <w:r>
              <w:rPr>
                <w:rFonts w:hint="eastAsia" w:ascii="宋体"/>
                <w:color w:val="000000"/>
                <w:sz w:val="18"/>
                <w:szCs w:val="28"/>
              </w:rPr>
              <w:t>Students</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24</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8</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2</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理论课</w:t>
            </w:r>
          </w:p>
        </w:tc>
        <w:tc>
          <w:tcPr>
            <w:tcW w:w="2655"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学生工作部（处）</w:t>
            </w:r>
          </w:p>
        </w:tc>
      </w:tr>
      <w:tr>
        <w:tblPrEx>
          <w:tblCellMar>
            <w:top w:w="0" w:type="dxa"/>
            <w:left w:w="108" w:type="dxa"/>
            <w:bottom w:w="0" w:type="dxa"/>
            <w:right w:w="108" w:type="dxa"/>
          </w:tblCellMar>
        </w:tblPrEx>
        <w:trPr>
          <w:trHeight w:val="56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TB13001012</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大学英语II</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College English II</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2</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考试</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理论课</w:t>
            </w:r>
          </w:p>
        </w:tc>
        <w:tc>
          <w:tcPr>
            <w:tcW w:w="2655"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外国语学院（公共课）</w:t>
            </w:r>
          </w:p>
        </w:tc>
      </w:tr>
      <w:tr>
        <w:tblPrEx>
          <w:tblCellMar>
            <w:top w:w="0" w:type="dxa"/>
            <w:left w:w="108" w:type="dxa"/>
            <w:bottom w:w="0" w:type="dxa"/>
            <w:right w:w="108" w:type="dxa"/>
          </w:tblCellMar>
        </w:tblPrEx>
        <w:trPr>
          <w:trHeight w:val="56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TB14001012</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公共体育（2）</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Physical Education 2</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1.0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30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2</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考试</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术科课</w:t>
            </w:r>
          </w:p>
        </w:tc>
        <w:tc>
          <w:tcPr>
            <w:tcW w:w="2655"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公体部</w:t>
            </w:r>
          </w:p>
        </w:tc>
      </w:tr>
      <w:tr>
        <w:tblPrEx>
          <w:tblCellMar>
            <w:top w:w="0" w:type="dxa"/>
            <w:left w:w="108" w:type="dxa"/>
            <w:bottom w:w="0" w:type="dxa"/>
            <w:right w:w="108" w:type="dxa"/>
          </w:tblCellMar>
        </w:tblPrEx>
        <w:trPr>
          <w:trHeight w:val="56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TB15001191</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新时代实践教育(1)</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pPr>
            <w:r>
              <w:rPr>
                <w:rFonts w:hint="eastAsia" w:ascii="宋体"/>
                <w:color w:val="000000"/>
                <w:sz w:val="18"/>
                <w:szCs w:val="28"/>
              </w:rPr>
              <w:t>Practical Education in the New Era</w:t>
            </w:r>
          </w:p>
          <w:p>
            <w:pPr>
              <w:wordWrap w:val="0"/>
              <w:autoSpaceDE w:val="0"/>
              <w:autoSpaceDN w:val="0"/>
              <w:jc w:val="center"/>
              <w:rPr>
                <w:rFonts w:ascii="Times New Roman" w:hAnsi="Times New Roman"/>
              </w:rPr>
            </w:pPr>
            <w:r>
              <w:rPr>
                <w:rFonts w:hint="eastAsia" w:ascii="宋体"/>
                <w:color w:val="000000"/>
                <w:sz w:val="18"/>
                <w:szCs w:val="28"/>
              </w:rPr>
              <w:t>（Ⅰ）</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1.0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16</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8</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8</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2</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pPr>
            <w:r>
              <w:rPr>
                <w:rFonts w:hint="eastAsia" w:ascii="宋体"/>
                <w:color w:val="000000"/>
                <w:sz w:val="18"/>
                <w:szCs w:val="28"/>
              </w:rPr>
              <w:t>理论课+实</w:t>
            </w:r>
          </w:p>
          <w:p>
            <w:pPr>
              <w:wordWrap w:val="0"/>
              <w:autoSpaceDE w:val="0"/>
              <w:autoSpaceDN w:val="0"/>
              <w:jc w:val="center"/>
              <w:rPr>
                <w:rFonts w:ascii="Times New Roman" w:hAnsi="Times New Roman"/>
              </w:rPr>
            </w:pPr>
            <w:r>
              <w:rPr>
                <w:rFonts w:hint="eastAsia" w:ascii="宋体"/>
                <w:color w:val="000000"/>
                <w:sz w:val="18"/>
                <w:szCs w:val="28"/>
              </w:rPr>
              <w:t>践课</w:t>
            </w:r>
          </w:p>
        </w:tc>
        <w:tc>
          <w:tcPr>
            <w:tcW w:w="2655"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马克思主义学院（公共课）</w:t>
            </w:r>
          </w:p>
        </w:tc>
      </w:tr>
      <w:tr>
        <w:tblPrEx>
          <w:tblCellMar>
            <w:top w:w="0" w:type="dxa"/>
            <w:left w:w="108" w:type="dxa"/>
            <w:bottom w:w="0" w:type="dxa"/>
            <w:right w:w="108" w:type="dxa"/>
          </w:tblCellMar>
        </w:tblPrEx>
        <w:trPr>
          <w:trHeight w:val="28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TB15001181</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大学生思想文化素养</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pPr>
            <w:r>
              <w:rPr>
                <w:rFonts w:hint="eastAsia" w:ascii="宋体"/>
                <w:color w:val="000000"/>
                <w:sz w:val="18"/>
                <w:szCs w:val="28"/>
              </w:rPr>
              <w:t xml:space="preserve">Ideological and Cultural Literacy </w:t>
            </w:r>
          </w:p>
          <w:p>
            <w:pPr>
              <w:wordWrap w:val="0"/>
              <w:autoSpaceDE w:val="0"/>
              <w:autoSpaceDN w:val="0"/>
              <w:jc w:val="center"/>
              <w:rPr>
                <w:rFonts w:ascii="Times New Roman" w:hAnsi="Times New Roman"/>
              </w:rPr>
            </w:pPr>
            <w:r>
              <w:rPr>
                <w:rFonts w:hint="eastAsia" w:ascii="宋体"/>
                <w:color w:val="000000"/>
                <w:sz w:val="18"/>
                <w:szCs w:val="28"/>
              </w:rPr>
              <w:t>of College Students</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2</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考试</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理论课</w:t>
            </w:r>
          </w:p>
        </w:tc>
        <w:tc>
          <w:tcPr>
            <w:tcW w:w="2655"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马克思主义学院（公共课）</w:t>
            </w:r>
          </w:p>
        </w:tc>
      </w:tr>
      <w:tr>
        <w:tblPrEx>
          <w:tblCellMar>
            <w:top w:w="0" w:type="dxa"/>
            <w:left w:w="108" w:type="dxa"/>
            <w:bottom w:w="0" w:type="dxa"/>
            <w:right w:w="108" w:type="dxa"/>
          </w:tblCellMar>
        </w:tblPrEx>
        <w:trPr>
          <w:trHeight w:val="28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TB23005041</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人工智能通识与应用A</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pPr>
            <w:r>
              <w:rPr>
                <w:rFonts w:hint="eastAsia" w:ascii="宋体"/>
                <w:color w:val="000000"/>
                <w:sz w:val="18"/>
                <w:szCs w:val="28"/>
              </w:rPr>
              <w:t>General Knowledge and Applications</w:t>
            </w:r>
          </w:p>
          <w:p>
            <w:pPr>
              <w:wordWrap w:val="0"/>
              <w:autoSpaceDE w:val="0"/>
              <w:autoSpaceDN w:val="0"/>
              <w:jc w:val="center"/>
              <w:rPr>
                <w:rFonts w:ascii="Times New Roman" w:hAnsi="Times New Roman"/>
              </w:rPr>
            </w:pPr>
            <w:r>
              <w:rPr>
                <w:rFonts w:hint="eastAsia" w:ascii="宋体"/>
                <w:color w:val="000000"/>
                <w:sz w:val="18"/>
                <w:szCs w:val="28"/>
              </w:rPr>
              <w:t xml:space="preserve"> of Artificial Intelligence A</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64</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0</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64</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2</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考试</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pPr>
            <w:r>
              <w:rPr>
                <w:rFonts w:hint="eastAsia" w:ascii="宋体"/>
                <w:color w:val="000000"/>
                <w:sz w:val="18"/>
                <w:szCs w:val="28"/>
              </w:rPr>
              <w:t>独立设置</w:t>
            </w:r>
          </w:p>
          <w:p>
            <w:pPr>
              <w:wordWrap w:val="0"/>
              <w:autoSpaceDE w:val="0"/>
              <w:autoSpaceDN w:val="0"/>
              <w:jc w:val="center"/>
              <w:rPr>
                <w:rFonts w:ascii="Times New Roman" w:hAnsi="Times New Roman"/>
              </w:rPr>
            </w:pPr>
            <w:r>
              <w:rPr>
                <w:rFonts w:hint="eastAsia" w:ascii="宋体"/>
                <w:color w:val="000000"/>
                <w:sz w:val="18"/>
                <w:szCs w:val="28"/>
              </w:rPr>
              <w:t>实验课</w:t>
            </w:r>
          </w:p>
        </w:tc>
        <w:tc>
          <w:tcPr>
            <w:tcW w:w="2655"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pPr>
            <w:r>
              <w:rPr>
                <w:rFonts w:hint="eastAsia" w:ascii="宋体"/>
                <w:color w:val="000000"/>
                <w:sz w:val="18"/>
                <w:szCs w:val="28"/>
              </w:rPr>
              <w:t>计算机科学与工程学院/软件学</w:t>
            </w:r>
          </w:p>
          <w:p>
            <w:pPr>
              <w:wordWrap w:val="0"/>
              <w:autoSpaceDE w:val="0"/>
              <w:autoSpaceDN w:val="0"/>
              <w:jc w:val="center"/>
              <w:rPr>
                <w:rFonts w:ascii="Times New Roman" w:hAnsi="Times New Roman"/>
              </w:rPr>
            </w:pPr>
            <w:r>
              <w:rPr>
                <w:rFonts w:hint="eastAsia" w:ascii="宋体"/>
                <w:color w:val="000000"/>
                <w:sz w:val="18"/>
                <w:szCs w:val="28"/>
              </w:rPr>
              <w:t>院</w:t>
            </w:r>
          </w:p>
        </w:tc>
      </w:tr>
      <w:tr>
        <w:tblPrEx>
          <w:tblCellMar>
            <w:top w:w="0" w:type="dxa"/>
            <w:left w:w="108" w:type="dxa"/>
            <w:bottom w:w="0" w:type="dxa"/>
            <w:right w:w="108" w:type="dxa"/>
          </w:tblCellMar>
        </w:tblPrEx>
        <w:trPr>
          <w:trHeight w:val="56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TB15001192</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新时代实践教育(2)</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pPr>
            <w:r>
              <w:rPr>
                <w:rFonts w:hint="eastAsia" w:ascii="宋体"/>
                <w:color w:val="000000"/>
                <w:sz w:val="18"/>
                <w:szCs w:val="28"/>
              </w:rPr>
              <w:t>Practical Education in the New Era</w:t>
            </w:r>
          </w:p>
          <w:p>
            <w:pPr>
              <w:wordWrap w:val="0"/>
              <w:autoSpaceDE w:val="0"/>
              <w:autoSpaceDN w:val="0"/>
              <w:jc w:val="center"/>
              <w:rPr>
                <w:rFonts w:ascii="Times New Roman" w:hAnsi="Times New Roman"/>
              </w:rPr>
            </w:pPr>
            <w:r>
              <w:rPr>
                <w:rFonts w:hint="eastAsia" w:ascii="宋体"/>
                <w:color w:val="000000"/>
                <w:sz w:val="18"/>
                <w:szCs w:val="28"/>
              </w:rPr>
              <w:t>（Ⅱ）</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1.0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16</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6</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10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3</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pPr>
            <w:r>
              <w:rPr>
                <w:rFonts w:hint="eastAsia" w:ascii="宋体"/>
                <w:color w:val="000000"/>
                <w:sz w:val="18"/>
                <w:szCs w:val="28"/>
              </w:rPr>
              <w:t>理论课+实</w:t>
            </w:r>
          </w:p>
          <w:p>
            <w:pPr>
              <w:wordWrap w:val="0"/>
              <w:autoSpaceDE w:val="0"/>
              <w:autoSpaceDN w:val="0"/>
              <w:jc w:val="center"/>
              <w:rPr>
                <w:rFonts w:ascii="Times New Roman" w:hAnsi="Times New Roman"/>
              </w:rPr>
            </w:pPr>
            <w:r>
              <w:rPr>
                <w:rFonts w:hint="eastAsia" w:ascii="宋体"/>
                <w:color w:val="000000"/>
                <w:sz w:val="18"/>
                <w:szCs w:val="28"/>
              </w:rPr>
              <w:t>践课</w:t>
            </w:r>
          </w:p>
        </w:tc>
        <w:tc>
          <w:tcPr>
            <w:tcW w:w="2655"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马克思主义学院（公共课）</w:t>
            </w:r>
          </w:p>
        </w:tc>
      </w:tr>
      <w:tr>
        <w:tblPrEx>
          <w:tblCellMar>
            <w:top w:w="0" w:type="dxa"/>
            <w:left w:w="108" w:type="dxa"/>
            <w:bottom w:w="0" w:type="dxa"/>
            <w:right w:w="108" w:type="dxa"/>
          </w:tblCellMar>
        </w:tblPrEx>
        <w:trPr>
          <w:trHeight w:val="28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TB13001013</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大学英语III</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College English III</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3</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考试</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理论课</w:t>
            </w:r>
          </w:p>
        </w:tc>
        <w:tc>
          <w:tcPr>
            <w:tcW w:w="2655"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外国语学院（公共课）</w:t>
            </w:r>
          </w:p>
        </w:tc>
      </w:tr>
      <w:tr>
        <w:tblPrEx>
          <w:tblCellMar>
            <w:top w:w="0" w:type="dxa"/>
            <w:left w:w="108" w:type="dxa"/>
            <w:bottom w:w="0" w:type="dxa"/>
            <w:right w:w="108" w:type="dxa"/>
          </w:tblCellMar>
        </w:tblPrEx>
        <w:trPr>
          <w:trHeight w:val="28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TB14001013</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公共体育（3）</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Physical Education 3</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1.0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30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3</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考试</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术科课</w:t>
            </w:r>
          </w:p>
        </w:tc>
        <w:tc>
          <w:tcPr>
            <w:tcW w:w="2655"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公体部</w:t>
            </w:r>
          </w:p>
        </w:tc>
      </w:tr>
      <w:tr>
        <w:tblPrEx>
          <w:tblCellMar>
            <w:top w:w="0" w:type="dxa"/>
            <w:left w:w="108" w:type="dxa"/>
            <w:bottom w:w="0" w:type="dxa"/>
            <w:right w:w="108" w:type="dxa"/>
          </w:tblCellMar>
        </w:tblPrEx>
        <w:trPr>
          <w:trHeight w:val="56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TB15001161</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pPr>
            <w:r>
              <w:rPr>
                <w:rFonts w:hint="eastAsia" w:ascii="宋体"/>
                <w:color w:val="000000"/>
                <w:sz w:val="18"/>
                <w:szCs w:val="28"/>
              </w:rPr>
              <w:t>毛泽东思想和中国特色社</w:t>
            </w:r>
          </w:p>
          <w:p>
            <w:pPr>
              <w:wordWrap w:val="0"/>
              <w:autoSpaceDE w:val="0"/>
              <w:autoSpaceDN w:val="0"/>
              <w:jc w:val="center"/>
              <w:rPr>
                <w:rFonts w:ascii="Times New Roman" w:hAnsi="Times New Roman"/>
              </w:rPr>
            </w:pPr>
            <w:r>
              <w:rPr>
                <w:rFonts w:hint="eastAsia" w:ascii="宋体"/>
                <w:color w:val="000000"/>
                <w:sz w:val="18"/>
                <w:szCs w:val="28"/>
              </w:rPr>
              <w:t>会主义理论体系概论</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pPr>
            <w:r>
              <w:rPr>
                <w:rFonts w:hint="eastAsia" w:ascii="宋体"/>
                <w:color w:val="000000"/>
                <w:sz w:val="18"/>
                <w:szCs w:val="28"/>
              </w:rPr>
              <w:t>General Introduction of Mao Zedong</w:t>
            </w:r>
          </w:p>
          <w:p>
            <w:pPr>
              <w:wordWrap w:val="0"/>
              <w:autoSpaceDE w:val="0"/>
              <w:autoSpaceDN w:val="0"/>
              <w:jc w:val="center"/>
            </w:pPr>
            <w:r>
              <w:rPr>
                <w:rFonts w:hint="eastAsia" w:ascii="宋体"/>
                <w:color w:val="000000"/>
                <w:sz w:val="18"/>
                <w:szCs w:val="28"/>
              </w:rPr>
              <w:t xml:space="preserve"> Thought &amp; Socialist Theory With </w:t>
            </w:r>
          </w:p>
          <w:p>
            <w:pPr>
              <w:wordWrap w:val="0"/>
              <w:autoSpaceDE w:val="0"/>
              <w:autoSpaceDN w:val="0"/>
              <w:jc w:val="center"/>
              <w:rPr>
                <w:rFonts w:ascii="Times New Roman" w:hAnsi="Times New Roman"/>
              </w:rPr>
            </w:pPr>
            <w:r>
              <w:rPr>
                <w:rFonts w:hint="eastAsia" w:ascii="宋体"/>
                <w:color w:val="000000"/>
                <w:sz w:val="18"/>
                <w:szCs w:val="28"/>
              </w:rPr>
              <w:t>Chinese Characteristics</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3.0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48</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36</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12</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3</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考试</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理论课</w:t>
            </w:r>
          </w:p>
        </w:tc>
        <w:tc>
          <w:tcPr>
            <w:tcW w:w="2655"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马克思主义学院（公共课）</w:t>
            </w:r>
          </w:p>
        </w:tc>
      </w:tr>
      <w:tr>
        <w:tblPrEx>
          <w:tblCellMar>
            <w:top w:w="0" w:type="dxa"/>
            <w:left w:w="108" w:type="dxa"/>
            <w:bottom w:w="0" w:type="dxa"/>
            <w:right w:w="108" w:type="dxa"/>
          </w:tblCellMar>
        </w:tblPrEx>
        <w:trPr>
          <w:trHeight w:val="82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TB14001014</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公共体育（4）</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Physical Education 4</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1.0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30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4</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考试</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术科课</w:t>
            </w:r>
          </w:p>
        </w:tc>
        <w:tc>
          <w:tcPr>
            <w:tcW w:w="2655"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公体部</w:t>
            </w:r>
          </w:p>
        </w:tc>
      </w:tr>
      <w:tr>
        <w:tblPrEx>
          <w:tblCellMar>
            <w:top w:w="0" w:type="dxa"/>
            <w:left w:w="108" w:type="dxa"/>
            <w:bottom w:w="0" w:type="dxa"/>
            <w:right w:w="108" w:type="dxa"/>
          </w:tblCellMar>
        </w:tblPrEx>
        <w:trPr>
          <w:trHeight w:val="56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TB13001014</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大学英语IV</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College English IV</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4</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考试</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理论课</w:t>
            </w:r>
          </w:p>
        </w:tc>
        <w:tc>
          <w:tcPr>
            <w:tcW w:w="2655"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外国语学院（公共课）</w:t>
            </w:r>
          </w:p>
        </w:tc>
      </w:tr>
      <w:tr>
        <w:tblPrEx>
          <w:tblCellMar>
            <w:top w:w="0" w:type="dxa"/>
            <w:left w:w="108" w:type="dxa"/>
            <w:bottom w:w="0" w:type="dxa"/>
            <w:right w:w="108" w:type="dxa"/>
          </w:tblCellMar>
        </w:tblPrEx>
        <w:trPr>
          <w:trHeight w:val="28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TB15001141</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马克思主义基本原理</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The Basic Principle of Marxism</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4</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考试</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理论课</w:t>
            </w:r>
          </w:p>
        </w:tc>
        <w:tc>
          <w:tcPr>
            <w:tcW w:w="2655"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马克思主义学院（公共课）</w:t>
            </w:r>
          </w:p>
        </w:tc>
      </w:tr>
      <w:tr>
        <w:tblPrEx>
          <w:tblCellMar>
            <w:top w:w="0" w:type="dxa"/>
            <w:left w:w="108" w:type="dxa"/>
            <w:bottom w:w="0" w:type="dxa"/>
            <w:right w:w="108" w:type="dxa"/>
          </w:tblCellMar>
        </w:tblPrEx>
        <w:trPr>
          <w:trHeight w:val="28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TB28002905</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创新创业基础</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pPr>
            <w:r>
              <w:rPr>
                <w:rFonts w:hint="eastAsia" w:ascii="宋体"/>
                <w:color w:val="000000"/>
                <w:sz w:val="18"/>
                <w:szCs w:val="28"/>
              </w:rPr>
              <w:t xml:space="preserve">Basics of  Innovation and </w:t>
            </w:r>
          </w:p>
          <w:p>
            <w:pPr>
              <w:wordWrap w:val="0"/>
              <w:autoSpaceDE w:val="0"/>
              <w:autoSpaceDN w:val="0"/>
              <w:jc w:val="center"/>
              <w:rPr>
                <w:rFonts w:ascii="Times New Roman" w:hAnsi="Times New Roman"/>
              </w:rPr>
            </w:pPr>
            <w:r>
              <w:rPr>
                <w:rFonts w:hint="eastAsia" w:ascii="宋体"/>
                <w:color w:val="000000"/>
                <w:sz w:val="18"/>
                <w:szCs w:val="28"/>
              </w:rPr>
              <w:t>Entrepreneurship</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4</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理论课</w:t>
            </w:r>
          </w:p>
        </w:tc>
        <w:tc>
          <w:tcPr>
            <w:tcW w:w="2655"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创新创业学院</w:t>
            </w:r>
          </w:p>
        </w:tc>
      </w:tr>
      <w:tr>
        <w:tblPrEx>
          <w:tblCellMar>
            <w:top w:w="0" w:type="dxa"/>
            <w:left w:w="108" w:type="dxa"/>
            <w:bottom w:w="0" w:type="dxa"/>
            <w:right w:w="108" w:type="dxa"/>
          </w:tblCellMar>
        </w:tblPrEx>
        <w:trPr>
          <w:trHeight w:val="56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TB20001026</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pPr>
            <w:r>
              <w:rPr>
                <w:rFonts w:hint="eastAsia" w:ascii="宋体"/>
                <w:color w:val="000000"/>
                <w:sz w:val="18"/>
                <w:szCs w:val="28"/>
              </w:rPr>
              <w:t>大学生职业规划与就业指</w:t>
            </w:r>
          </w:p>
          <w:p>
            <w:pPr>
              <w:wordWrap w:val="0"/>
              <w:autoSpaceDE w:val="0"/>
              <w:autoSpaceDN w:val="0"/>
              <w:jc w:val="center"/>
              <w:rPr>
                <w:rFonts w:ascii="Times New Roman" w:hAnsi="Times New Roman"/>
              </w:rPr>
            </w:pPr>
            <w:r>
              <w:rPr>
                <w:rFonts w:hint="eastAsia" w:ascii="宋体"/>
                <w:color w:val="000000"/>
                <w:sz w:val="18"/>
                <w:szCs w:val="28"/>
              </w:rPr>
              <w:t>导</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pPr>
            <w:r>
              <w:rPr>
                <w:rFonts w:hint="eastAsia" w:ascii="宋体"/>
                <w:color w:val="000000"/>
                <w:sz w:val="18"/>
                <w:szCs w:val="28"/>
              </w:rPr>
              <w:t xml:space="preserve">Career Planning and Employment </w:t>
            </w:r>
          </w:p>
          <w:p>
            <w:pPr>
              <w:wordWrap w:val="0"/>
              <w:autoSpaceDE w:val="0"/>
              <w:autoSpaceDN w:val="0"/>
              <w:jc w:val="center"/>
              <w:rPr>
                <w:rFonts w:ascii="Times New Roman" w:hAnsi="Times New Roman"/>
              </w:rPr>
            </w:pPr>
            <w:r>
              <w:rPr>
                <w:rFonts w:hint="eastAsia" w:ascii="宋体"/>
                <w:color w:val="000000"/>
                <w:sz w:val="18"/>
                <w:szCs w:val="28"/>
              </w:rPr>
              <w:t>Guidance for College Students</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1.0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21</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11</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5</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理论课</w:t>
            </w:r>
          </w:p>
        </w:tc>
        <w:tc>
          <w:tcPr>
            <w:tcW w:w="2655"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学生工作部（处）</w:t>
            </w:r>
          </w:p>
        </w:tc>
      </w:tr>
      <w:tr>
        <w:tblPrEx>
          <w:tblCellMar>
            <w:top w:w="0" w:type="dxa"/>
            <w:left w:w="108" w:type="dxa"/>
            <w:bottom w:w="0" w:type="dxa"/>
            <w:right w:w="108" w:type="dxa"/>
          </w:tblCellMar>
        </w:tblPrEx>
        <w:trPr>
          <w:trHeight w:val="28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TB14001015</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体质健康检测</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Physical health test</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0.5</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8</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0</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8</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7</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考试</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术科课</w:t>
            </w:r>
          </w:p>
        </w:tc>
        <w:tc>
          <w:tcPr>
            <w:tcW w:w="2655"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hint="eastAsia" w:ascii="宋体"/>
                <w:color w:val="000000"/>
                <w:sz w:val="18"/>
                <w:szCs w:val="28"/>
              </w:rPr>
              <w:t>公体部</w:t>
            </w:r>
          </w:p>
        </w:tc>
      </w:tr>
      <w:tr>
        <w:tblPrEx>
          <w:tblCellMar>
            <w:top w:w="0" w:type="dxa"/>
            <w:left w:w="108" w:type="dxa"/>
            <w:bottom w:w="0" w:type="dxa"/>
            <w:right w:w="108" w:type="dxa"/>
          </w:tblCellMar>
        </w:tblPrEx>
        <w:trPr>
          <w:trHeight w:val="483"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必修</w:t>
            </w:r>
          </w:p>
        </w:tc>
        <w:tc>
          <w:tcPr>
            <w:tcW w:w="5387" w:type="dxa"/>
            <w:gridSpan w:val="4"/>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通识基础课程 小计</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39.0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736</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482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宋体"/>
                <w:color w:val="000000"/>
                <w:sz w:val="18"/>
                <w:szCs w:val="28"/>
              </w:rPr>
              <w:t>254</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c>
          <w:tcPr>
            <w:tcW w:w="2655"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24"/>
                <w:szCs w:val="28"/>
              </w:rPr>
              <w:t>——</w:t>
            </w:r>
          </w:p>
        </w:tc>
      </w:tr>
      <w:tr>
        <w:tblPrEx>
          <w:tblCellMar>
            <w:top w:w="0" w:type="dxa"/>
            <w:left w:w="108" w:type="dxa"/>
            <w:bottom w:w="0" w:type="dxa"/>
            <w:right w:w="108" w:type="dxa"/>
          </w:tblCellMar>
        </w:tblPrEx>
        <w:trPr>
          <w:trHeight w:val="2252"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通识选修课程 小计（至</w:t>
            </w:r>
          </w:p>
          <w:p>
            <w:pPr>
              <w:wordWrap w:val="0"/>
              <w:autoSpaceDE w:val="0"/>
              <w:autoSpaceDN w:val="0"/>
              <w:jc w:val="center"/>
              <w:rPr>
                <w:rFonts w:ascii="Times New Roman" w:hAnsi="Times New Roman"/>
              </w:rPr>
            </w:pPr>
            <w:r>
              <w:rPr>
                <w:rFonts w:ascii="Times New Roman" w:hAnsi="Times New Roman"/>
                <w:sz w:val="18"/>
                <w:szCs w:val="28"/>
              </w:rPr>
              <w:t>少应修读学分数）</w:t>
            </w:r>
          </w:p>
        </w:tc>
        <w:tc>
          <w:tcPr>
            <w:tcW w:w="1771"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hint="eastAsia" w:ascii="Times New Roman" w:hAnsi="Times New Roman"/>
              </w:rPr>
            </w:pPr>
            <w:r>
              <w:rPr>
                <w:rFonts w:hint="eastAsia" w:ascii="Times New Roman" w:hAnsi="Times New Roman"/>
                <w:sz w:val="18"/>
                <w:szCs w:val="28"/>
              </w:rPr>
              <w:t>7</w:t>
            </w:r>
          </w:p>
        </w:tc>
        <w:tc>
          <w:tcPr>
            <w:tcW w:w="10278" w:type="dxa"/>
            <w:gridSpan w:val="10"/>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left"/>
              <w:rPr>
                <w:rFonts w:hint="eastAsia" w:ascii="Times New Roman" w:hAnsi="Times New Roman"/>
                <w:sz w:val="18"/>
                <w:szCs w:val="28"/>
              </w:rPr>
            </w:pPr>
            <w:r>
              <w:rPr>
                <w:rFonts w:hint="eastAsia" w:ascii="Times New Roman" w:hAnsi="Times New Roman"/>
                <w:sz w:val="18"/>
                <w:szCs w:val="28"/>
              </w:rPr>
              <w:t>具体参见《全校性通识核心课程（选修）一览表》，学生从5个课程模块中选择修读，要求各专业学生至少修读7学分，各模块课</w:t>
            </w:r>
          </w:p>
          <w:p>
            <w:pPr>
              <w:wordWrap w:val="0"/>
              <w:autoSpaceDE w:val="0"/>
              <w:autoSpaceDN w:val="0"/>
              <w:jc w:val="left"/>
              <w:rPr>
                <w:rFonts w:hint="eastAsia" w:ascii="Times New Roman" w:hAnsi="Times New Roman"/>
                <w:sz w:val="18"/>
                <w:szCs w:val="28"/>
              </w:rPr>
            </w:pPr>
            <w:r>
              <w:rPr>
                <w:rFonts w:hint="eastAsia" w:ascii="Times New Roman" w:hAnsi="Times New Roman"/>
                <w:sz w:val="18"/>
                <w:szCs w:val="28"/>
              </w:rPr>
              <w:t>程学分不能相互置换。</w:t>
            </w:r>
          </w:p>
          <w:p>
            <w:pPr>
              <w:wordWrap w:val="0"/>
              <w:autoSpaceDE w:val="0"/>
              <w:autoSpaceDN w:val="0"/>
              <w:jc w:val="left"/>
              <w:rPr>
                <w:rFonts w:hint="eastAsia" w:ascii="Times New Roman" w:hAnsi="Times New Roman"/>
                <w:sz w:val="18"/>
                <w:szCs w:val="28"/>
              </w:rPr>
            </w:pPr>
            <w:r>
              <w:rPr>
                <w:rFonts w:hint="eastAsia" w:ascii="Times New Roman" w:hAnsi="Times New Roman"/>
                <w:sz w:val="18"/>
                <w:szCs w:val="28"/>
              </w:rPr>
              <w:t>（1）人文社科类（TW） 1学分</w:t>
            </w:r>
          </w:p>
          <w:p>
            <w:pPr>
              <w:wordWrap w:val="0"/>
              <w:autoSpaceDE w:val="0"/>
              <w:autoSpaceDN w:val="0"/>
              <w:jc w:val="left"/>
              <w:rPr>
                <w:rFonts w:hint="eastAsia" w:ascii="Times New Roman" w:hAnsi="Times New Roman"/>
                <w:sz w:val="18"/>
                <w:szCs w:val="28"/>
              </w:rPr>
            </w:pPr>
            <w:r>
              <w:rPr>
                <w:rFonts w:hint="eastAsia" w:ascii="Times New Roman" w:hAnsi="Times New Roman"/>
                <w:sz w:val="18"/>
                <w:szCs w:val="28"/>
              </w:rPr>
              <w:t>（2）自然科学类（TI） 1学分</w:t>
            </w:r>
          </w:p>
          <w:p>
            <w:pPr>
              <w:wordWrap w:val="0"/>
              <w:autoSpaceDE w:val="0"/>
              <w:autoSpaceDN w:val="0"/>
              <w:jc w:val="left"/>
              <w:rPr>
                <w:rFonts w:hint="eastAsia" w:ascii="Times New Roman" w:hAnsi="Times New Roman"/>
                <w:sz w:val="18"/>
                <w:szCs w:val="28"/>
              </w:rPr>
            </w:pPr>
            <w:r>
              <w:rPr>
                <w:rFonts w:hint="eastAsia" w:ascii="Times New Roman" w:hAnsi="Times New Roman"/>
                <w:sz w:val="18"/>
                <w:szCs w:val="28"/>
              </w:rPr>
              <w:t>（3）公共艺术类（TY） 2学分</w:t>
            </w:r>
          </w:p>
          <w:p>
            <w:pPr>
              <w:wordWrap w:val="0"/>
              <w:autoSpaceDE w:val="0"/>
              <w:autoSpaceDN w:val="0"/>
              <w:jc w:val="left"/>
              <w:rPr>
                <w:rFonts w:hint="eastAsia" w:ascii="Times New Roman" w:hAnsi="Times New Roman"/>
                <w:sz w:val="18"/>
                <w:szCs w:val="28"/>
              </w:rPr>
            </w:pPr>
            <w:r>
              <w:rPr>
                <w:rFonts w:hint="eastAsia" w:ascii="Times New Roman" w:hAnsi="Times New Roman"/>
                <w:sz w:val="18"/>
                <w:szCs w:val="28"/>
              </w:rPr>
              <w:t>（4）“四史”教育类（TH） 2学分</w:t>
            </w:r>
          </w:p>
          <w:p>
            <w:pPr>
              <w:wordWrap w:val="0"/>
              <w:autoSpaceDE w:val="0"/>
              <w:autoSpaceDN w:val="0"/>
              <w:jc w:val="both"/>
              <w:rPr>
                <w:rFonts w:ascii="Times New Roman" w:hAnsi="Times New Roman"/>
              </w:rPr>
            </w:pPr>
            <w:r>
              <w:rPr>
                <w:rFonts w:hint="eastAsia" w:ascii="Times New Roman" w:hAnsi="Times New Roman"/>
                <w:sz w:val="18"/>
                <w:szCs w:val="28"/>
              </w:rPr>
              <w:t>（5）通识讲座类（TQ） 1学分</w:t>
            </w:r>
            <w:r>
              <w:rPr>
                <w:rFonts w:ascii="Times New Roman" w:hAnsi="Times New Roman"/>
                <w:sz w:val="18"/>
                <w:szCs w:val="28"/>
              </w:rPr>
              <w:t>分</w:t>
            </w:r>
          </w:p>
        </w:tc>
      </w:tr>
      <w:tr>
        <w:tblPrEx>
          <w:tblCellMar>
            <w:top w:w="0" w:type="dxa"/>
            <w:left w:w="108" w:type="dxa"/>
            <w:bottom w:w="0" w:type="dxa"/>
            <w:right w:w="108" w:type="dxa"/>
          </w:tblCellMar>
        </w:tblPrEx>
        <w:trPr>
          <w:trHeight w:val="407" w:hRule="exact"/>
          <w:jc w:val="center"/>
        </w:trPr>
        <w:tc>
          <w:tcPr>
            <w:tcW w:w="4188" w:type="dxa"/>
            <w:gridSpan w:val="4"/>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通识教育课程   合计</w:t>
            </w:r>
          </w:p>
        </w:tc>
        <w:tc>
          <w:tcPr>
            <w:tcW w:w="1771"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4</w:t>
            </w:r>
            <w:r>
              <w:rPr>
                <w:rFonts w:hint="eastAsia" w:ascii="Times New Roman" w:hAnsi="Times New Roman"/>
                <w:sz w:val="18"/>
                <w:szCs w:val="28"/>
              </w:rPr>
              <w:t>6</w:t>
            </w:r>
            <w:r>
              <w:rPr>
                <w:rFonts w:ascii="Times New Roman" w:hAnsi="Times New Roman"/>
                <w:sz w:val="18"/>
                <w:szCs w:val="28"/>
              </w:rPr>
              <w:t>.00</w:t>
            </w:r>
          </w:p>
        </w:tc>
        <w:tc>
          <w:tcPr>
            <w:tcW w:w="1963"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hint="eastAsia" w:ascii="Times New Roman" w:hAnsi="Times New Roman"/>
              </w:rPr>
            </w:pPr>
            <w:r>
              <w:rPr>
                <w:rFonts w:hint="eastAsia" w:ascii="Times New Roman" w:hAnsi="Times New Roman"/>
                <w:sz w:val="18"/>
                <w:szCs w:val="28"/>
              </w:rPr>
              <w:t>736</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c>
          <w:tcPr>
            <w:tcW w:w="2655"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r>
      <w:tr>
        <w:tblPrEx>
          <w:tblCellMar>
            <w:top w:w="0" w:type="dxa"/>
            <w:left w:w="108" w:type="dxa"/>
            <w:bottom w:w="0" w:type="dxa"/>
            <w:right w:w="108" w:type="dxa"/>
          </w:tblCellMar>
        </w:tblPrEx>
        <w:trPr>
          <w:trHeight w:val="284" w:hRule="exact"/>
          <w:jc w:val="center"/>
        </w:trPr>
        <w:tc>
          <w:tcPr>
            <w:tcW w:w="2535"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备注</w:t>
            </w:r>
          </w:p>
        </w:tc>
        <w:tc>
          <w:tcPr>
            <w:tcW w:w="13702" w:type="dxa"/>
            <w:gridSpan w:val="13"/>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思想政治理论课程每门安排1/3左右的学时数开展研究性学习，并纳入实验实训教学环节进行管理。</w:t>
            </w:r>
          </w:p>
        </w:tc>
      </w:tr>
      <w:tr>
        <w:tblPrEx>
          <w:tblCellMar>
            <w:top w:w="0" w:type="dxa"/>
            <w:left w:w="108" w:type="dxa"/>
            <w:bottom w:w="0" w:type="dxa"/>
            <w:right w:w="108" w:type="dxa"/>
          </w:tblCellMar>
        </w:tblPrEx>
        <w:trPr>
          <w:trHeight w:val="168"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127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377"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1771"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1963"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r>
      <w:tr>
        <w:tblPrEx>
          <w:tblCellMar>
            <w:top w:w="0" w:type="dxa"/>
            <w:left w:w="108" w:type="dxa"/>
            <w:bottom w:w="0" w:type="dxa"/>
            <w:right w:w="108" w:type="dxa"/>
          </w:tblCellMar>
        </w:tblPrEx>
        <w:trPr>
          <w:trHeight w:val="168"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127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377"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1771"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1963"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r>
      <w:tr>
        <w:tblPrEx>
          <w:tblCellMar>
            <w:top w:w="0" w:type="dxa"/>
            <w:left w:w="108" w:type="dxa"/>
            <w:bottom w:w="0" w:type="dxa"/>
            <w:right w:w="108" w:type="dxa"/>
          </w:tblCellMar>
        </w:tblPrEx>
        <w:trPr>
          <w:trHeight w:val="342" w:hRule="exact"/>
          <w:jc w:val="center"/>
        </w:trPr>
        <w:tc>
          <w:tcPr>
            <w:tcW w:w="3811" w:type="dxa"/>
            <w:gridSpan w:val="3"/>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b/>
                <w:sz w:val="24"/>
                <w:szCs w:val="28"/>
              </w:rPr>
              <w:t>二、专业教育课程平台</w:t>
            </w:r>
          </w:p>
        </w:tc>
        <w:tc>
          <w:tcPr>
            <w:tcW w:w="8812" w:type="dxa"/>
            <w:gridSpan w:val="9"/>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bottom"/>
          </w:tcPr>
          <w:p>
            <w:pPr>
              <w:wordWrap w:val="0"/>
              <w:autoSpaceDE w:val="0"/>
              <w:autoSpaceDN w:val="0"/>
              <w:jc w:val="center"/>
              <w:rPr>
                <w:rFonts w:ascii="Times New Roman" w:hAnsi="Times New Roman"/>
              </w:rPr>
            </w:pP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bottom"/>
          </w:tcPr>
          <w:p>
            <w:pPr>
              <w:wordWrap w:val="0"/>
              <w:autoSpaceDE w:val="0"/>
              <w:autoSpaceDN w:val="0"/>
              <w:jc w:val="center"/>
              <w:rPr>
                <w:rFonts w:ascii="Times New Roman" w:hAnsi="Times New Roman"/>
              </w:rPr>
            </w:pP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r>
      <w:tr>
        <w:tblPrEx>
          <w:tblCellMar>
            <w:top w:w="0" w:type="dxa"/>
            <w:left w:w="108" w:type="dxa"/>
            <w:bottom w:w="0" w:type="dxa"/>
            <w:right w:w="108" w:type="dxa"/>
          </w:tblCellMar>
        </w:tblPrEx>
        <w:trPr>
          <w:trHeight w:val="560"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课程代码</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课程类别</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课程中文名称</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课程英文名称</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总学分</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总学时</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理论讲授</w:t>
            </w:r>
          </w:p>
          <w:p>
            <w:pPr>
              <w:wordWrap w:val="0"/>
              <w:autoSpaceDE w:val="0"/>
              <w:autoSpaceDN w:val="0"/>
              <w:jc w:val="center"/>
              <w:rPr>
                <w:rFonts w:ascii="Times New Roman" w:hAnsi="Times New Roman"/>
              </w:rPr>
            </w:pPr>
            <w:r>
              <w:rPr>
                <w:rFonts w:ascii="Times New Roman" w:hAnsi="Times New Roman"/>
                <w:sz w:val="18"/>
                <w:szCs w:val="28"/>
              </w:rPr>
              <w:t>学时</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实验实训</w:t>
            </w:r>
          </w:p>
          <w:p>
            <w:pPr>
              <w:wordWrap w:val="0"/>
              <w:autoSpaceDE w:val="0"/>
              <w:autoSpaceDN w:val="0"/>
              <w:jc w:val="center"/>
              <w:rPr>
                <w:rFonts w:ascii="Times New Roman" w:hAnsi="Times New Roman"/>
              </w:rPr>
            </w:pPr>
            <w:r>
              <w:rPr>
                <w:rFonts w:ascii="Times New Roman" w:hAnsi="Times New Roman"/>
                <w:sz w:val="18"/>
                <w:szCs w:val="28"/>
              </w:rPr>
              <w:t>学时</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考试学期</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考核方式</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课程性质</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开课单位</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课程说明</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bookmarkStart w:id="128" w:name="_Hlk230685117"/>
            <w:r>
              <w:rPr>
                <w:rFonts w:ascii="Times New Roman" w:hAnsi="Times New Roman"/>
                <w:sz w:val="18"/>
                <w:szCs w:val="28"/>
              </w:rPr>
              <w:t>KB24003101</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微观经济学</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Microeconomics</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3.0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48</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48</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1</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考试</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r>
      <w:tr>
        <w:tblPrEx>
          <w:tblCellMar>
            <w:top w:w="0" w:type="dxa"/>
            <w:left w:w="108" w:type="dxa"/>
            <w:bottom w:w="0" w:type="dxa"/>
            <w:right w:w="108" w:type="dxa"/>
          </w:tblCellMar>
        </w:tblPrEx>
        <w:trPr>
          <w:trHeight w:val="362"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KB24008001</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数字经济专业导读课</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28"/>
              </w:rPr>
            </w:pPr>
            <w:r>
              <w:rPr>
                <w:rFonts w:ascii="Times New Roman" w:hAnsi="Times New Roman"/>
                <w:sz w:val="18"/>
                <w:szCs w:val="28"/>
              </w:rPr>
              <w:t>A Guiding Course for Digital Economics Majors</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1.0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16</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16</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1</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考试</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r>
      <w:tr>
        <w:tblPrEx>
          <w:tblCellMar>
            <w:top w:w="0" w:type="dxa"/>
            <w:left w:w="108" w:type="dxa"/>
            <w:bottom w:w="0" w:type="dxa"/>
            <w:right w:w="108" w:type="dxa"/>
          </w:tblCellMar>
        </w:tblPrEx>
        <w:trPr>
          <w:trHeight w:val="560"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KB07003031</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高等数学1</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Advanced Mathematics I</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4.0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64</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64</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1</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考试</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数学与统计学</w:t>
            </w:r>
          </w:p>
          <w:p>
            <w:pPr>
              <w:wordWrap w:val="0"/>
              <w:autoSpaceDE w:val="0"/>
              <w:autoSpaceDN w:val="0"/>
              <w:jc w:val="center"/>
              <w:rPr>
                <w:rFonts w:ascii="Times New Roman" w:hAnsi="Times New Roman"/>
              </w:rPr>
            </w:pPr>
            <w:r>
              <w:rPr>
                <w:rFonts w:ascii="Times New Roman" w:hAnsi="Times New Roman"/>
                <w:sz w:val="18"/>
                <w:szCs w:val="28"/>
              </w:rPr>
              <w:t>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r>
      <w:tr>
        <w:tblPrEx>
          <w:tblCellMar>
            <w:top w:w="0" w:type="dxa"/>
            <w:left w:w="108" w:type="dxa"/>
            <w:bottom w:w="0" w:type="dxa"/>
            <w:right w:w="108" w:type="dxa"/>
          </w:tblCellMar>
        </w:tblPrEx>
        <w:trPr>
          <w:trHeight w:val="560"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KB07003032</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高等数学2</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Advanced Mathematics II</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5.0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80</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80</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2</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考试</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数学与统计学</w:t>
            </w:r>
          </w:p>
          <w:p>
            <w:pPr>
              <w:wordWrap w:val="0"/>
              <w:autoSpaceDE w:val="0"/>
              <w:autoSpaceDN w:val="0"/>
              <w:jc w:val="center"/>
              <w:rPr>
                <w:rFonts w:ascii="Times New Roman" w:hAnsi="Times New Roman"/>
              </w:rPr>
            </w:pPr>
            <w:r>
              <w:rPr>
                <w:rFonts w:ascii="Times New Roman" w:hAnsi="Times New Roman"/>
                <w:sz w:val="18"/>
                <w:szCs w:val="28"/>
              </w:rPr>
              <w:t>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KB24003111</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宏观经济学</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Macroeconomics</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3.0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48</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48</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2</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考试</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r>
      <w:bookmarkEnd w:id="128"/>
      <w:tr>
        <w:tblPrEx>
          <w:tblCellMar>
            <w:top w:w="0" w:type="dxa"/>
            <w:left w:w="108" w:type="dxa"/>
            <w:bottom w:w="0" w:type="dxa"/>
            <w:right w:w="108" w:type="dxa"/>
          </w:tblCellMar>
        </w:tblPrEx>
        <w:trPr>
          <w:trHeight w:val="266"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KB07003033</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线性代数</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Linear Algebra</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3.0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48</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48</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2</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考试</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数学与统计学</w:t>
            </w:r>
          </w:p>
          <w:p>
            <w:pPr>
              <w:wordWrap w:val="0"/>
              <w:autoSpaceDE w:val="0"/>
              <w:autoSpaceDN w:val="0"/>
              <w:jc w:val="center"/>
              <w:rPr>
                <w:rFonts w:ascii="Times New Roman" w:hAnsi="Times New Roman"/>
              </w:rPr>
            </w:pPr>
            <w:r>
              <w:rPr>
                <w:rFonts w:ascii="Times New Roman" w:hAnsi="Times New Roman"/>
                <w:sz w:val="18"/>
                <w:szCs w:val="28"/>
              </w:rPr>
              <w:t>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KB24003141</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会计学原理</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Principles of Accounting</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24</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8</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3</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考试</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r>
      <w:tr>
        <w:tblPrEx>
          <w:tblCellMar>
            <w:top w:w="0" w:type="dxa"/>
            <w:left w:w="108" w:type="dxa"/>
            <w:bottom w:w="0" w:type="dxa"/>
            <w:right w:w="108" w:type="dxa"/>
          </w:tblCellMar>
        </w:tblPrEx>
        <w:trPr>
          <w:trHeight w:val="402"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KB07003034</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概率论与数理统计</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 xml:space="preserve">Probability Theory and </w:t>
            </w:r>
          </w:p>
          <w:p>
            <w:pPr>
              <w:wordWrap w:val="0"/>
              <w:autoSpaceDE w:val="0"/>
              <w:autoSpaceDN w:val="0"/>
              <w:jc w:val="center"/>
              <w:rPr>
                <w:rFonts w:ascii="Times New Roman" w:hAnsi="Times New Roman"/>
              </w:rPr>
            </w:pPr>
            <w:r>
              <w:rPr>
                <w:rFonts w:ascii="Times New Roman" w:hAnsi="Times New Roman"/>
                <w:sz w:val="18"/>
                <w:szCs w:val="28"/>
              </w:rPr>
              <w:t>Mathematical Statistics</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3.0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48</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48</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3</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考试</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数学与统计学</w:t>
            </w:r>
          </w:p>
          <w:p>
            <w:pPr>
              <w:wordWrap w:val="0"/>
              <w:autoSpaceDE w:val="0"/>
              <w:autoSpaceDN w:val="0"/>
              <w:jc w:val="center"/>
              <w:rPr>
                <w:rFonts w:ascii="Times New Roman" w:hAnsi="Times New Roman"/>
              </w:rPr>
            </w:pPr>
            <w:r>
              <w:rPr>
                <w:rFonts w:ascii="Times New Roman" w:hAnsi="Times New Roman"/>
                <w:sz w:val="18"/>
                <w:szCs w:val="28"/>
              </w:rPr>
              <w:t>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KB24003151</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统计学原理</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Theory of Statistics</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3.0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48</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39</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9</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4</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考试</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r>
      <w:tr>
        <w:tblPrEx>
          <w:tblCellMar>
            <w:top w:w="0" w:type="dxa"/>
            <w:left w:w="108" w:type="dxa"/>
            <w:bottom w:w="0" w:type="dxa"/>
            <w:right w:w="108" w:type="dxa"/>
          </w:tblCellMar>
        </w:tblPrEx>
        <w:trPr>
          <w:trHeight w:val="322"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必修</w:t>
            </w:r>
          </w:p>
        </w:tc>
        <w:tc>
          <w:tcPr>
            <w:tcW w:w="5387" w:type="dxa"/>
            <w:gridSpan w:val="4"/>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专业基础课程 合计</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27.0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432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417</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15</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r>
      <w:tr>
        <w:tblPrEx>
          <w:tblCellMar>
            <w:top w:w="0" w:type="dxa"/>
            <w:left w:w="108" w:type="dxa"/>
            <w:bottom w:w="0" w:type="dxa"/>
            <w:right w:w="108" w:type="dxa"/>
          </w:tblCellMar>
        </w:tblPrEx>
        <w:trPr>
          <w:trHeight w:val="314" w:hRule="exact"/>
          <w:jc w:val="center"/>
        </w:trPr>
        <w:tc>
          <w:tcPr>
            <w:tcW w:w="2535"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备注</w:t>
            </w:r>
          </w:p>
        </w:tc>
        <w:tc>
          <w:tcPr>
            <w:tcW w:w="13702" w:type="dxa"/>
            <w:gridSpan w:val="13"/>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r>
      <w:tr>
        <w:tblPrEx>
          <w:tblCellMar>
            <w:top w:w="0" w:type="dxa"/>
            <w:left w:w="108" w:type="dxa"/>
            <w:bottom w:w="0" w:type="dxa"/>
            <w:right w:w="108" w:type="dxa"/>
          </w:tblCellMar>
        </w:tblPrEx>
        <w:trPr>
          <w:trHeight w:val="45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127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377"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1771"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1963"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r>
      <w:tr>
        <w:tblPrEx>
          <w:tblCellMar>
            <w:top w:w="0" w:type="dxa"/>
            <w:left w:w="108" w:type="dxa"/>
            <w:bottom w:w="0" w:type="dxa"/>
            <w:right w:w="108" w:type="dxa"/>
          </w:tblCellMar>
        </w:tblPrEx>
        <w:trPr>
          <w:trHeight w:val="560"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课程代码</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课程类别</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课程中文名称</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课程英文名称</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总学分</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总学时</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理论讲授</w:t>
            </w:r>
          </w:p>
          <w:p>
            <w:pPr>
              <w:wordWrap w:val="0"/>
              <w:autoSpaceDE w:val="0"/>
              <w:autoSpaceDN w:val="0"/>
              <w:jc w:val="center"/>
              <w:rPr>
                <w:rFonts w:ascii="Times New Roman" w:hAnsi="Times New Roman"/>
                <w:sz w:val="18"/>
                <w:szCs w:val="18"/>
              </w:rPr>
            </w:pPr>
            <w:r>
              <w:rPr>
                <w:rFonts w:ascii="Times New Roman" w:hAnsi="Times New Roman"/>
                <w:sz w:val="18"/>
                <w:szCs w:val="18"/>
              </w:rPr>
              <w:t>学时</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实验实训</w:t>
            </w:r>
          </w:p>
          <w:p>
            <w:pPr>
              <w:wordWrap w:val="0"/>
              <w:autoSpaceDE w:val="0"/>
              <w:autoSpaceDN w:val="0"/>
              <w:jc w:val="center"/>
              <w:rPr>
                <w:rFonts w:ascii="Times New Roman" w:hAnsi="Times New Roman"/>
                <w:sz w:val="18"/>
                <w:szCs w:val="18"/>
              </w:rPr>
            </w:pPr>
            <w:r>
              <w:rPr>
                <w:rFonts w:ascii="Times New Roman" w:hAnsi="Times New Roman"/>
                <w:sz w:val="18"/>
                <w:szCs w:val="18"/>
              </w:rPr>
              <w:t>学时</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考试学期</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考核方式</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课程性质</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开课单位</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课程说明</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bookmarkStart w:id="129" w:name="_Hlk230993829"/>
            <w:r>
              <w:rPr>
                <w:rFonts w:ascii="Times New Roman" w:hAnsi="Times New Roman"/>
                <w:sz w:val="18"/>
                <w:szCs w:val="18"/>
              </w:rPr>
              <w:t>ZB24003571</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政治经济学</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Political Economics</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4.0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64</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64</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1</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考试</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ZB24008001</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bookmarkStart w:id="130" w:name="OLE_LINK11"/>
            <w:r>
              <w:rPr>
                <w:rFonts w:ascii="Times New Roman" w:hAnsi="Times New Roman"/>
                <w:sz w:val="18"/>
                <w:szCs w:val="28"/>
              </w:rPr>
              <w:t>习近平经济思想概论</w:t>
            </w:r>
            <w:bookmarkEnd w:id="130"/>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28"/>
              </w:rPr>
              <w:t xml:space="preserve">  Study Outline on Xi Jinping's Economic Thought</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2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2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2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2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hint="eastAsia" w:ascii="Times New Roman" w:hAnsi="Times New Roman"/>
                <w:sz w:val="18"/>
                <w:szCs w:val="28"/>
              </w:rPr>
              <w:t>1</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28"/>
              </w:rPr>
              <w:t>考试</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2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2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ZB24008002</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数字经济学</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Digital Economics</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48</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16</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考试</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ZB24003171</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财政学</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Public Finance‌</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48</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39</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9</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考试</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ZB24004551</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金融学</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Finance</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48</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39</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9</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4</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考试</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ZB24008003</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bookmarkStart w:id="131" w:name="OLE_LINK4"/>
            <w:r>
              <w:rPr>
                <w:rFonts w:ascii="Times New Roman" w:hAnsi="Times New Roman"/>
                <w:sz w:val="18"/>
                <w:szCs w:val="18"/>
              </w:rPr>
              <w:t>数字贸易</w:t>
            </w:r>
            <w:bookmarkEnd w:id="131"/>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Digital Trade</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4</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考试</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ZB24008004</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bookmarkStart w:id="132" w:name="OLE_LINK7"/>
            <w:r>
              <w:rPr>
                <w:rFonts w:ascii="Times New Roman" w:hAnsi="Times New Roman"/>
                <w:sz w:val="18"/>
                <w:szCs w:val="18"/>
              </w:rPr>
              <w:t>数字金融与金融科技</w:t>
            </w:r>
            <w:bookmarkEnd w:id="132"/>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Digital Finance and Financial Technology</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26</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6</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5</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考试</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ZB24003181</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计量经济学</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Econometrics</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48</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30</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18</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5</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考试</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ZB24008005</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信息经济学</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 xml:space="preserve">Information </w:t>
            </w:r>
            <w:bookmarkStart w:id="133" w:name="OLE_LINK8"/>
            <w:r>
              <w:rPr>
                <w:rFonts w:ascii="Times New Roman" w:hAnsi="Times New Roman"/>
                <w:sz w:val="18"/>
                <w:szCs w:val="18"/>
              </w:rPr>
              <w:t>Economics</w:t>
            </w:r>
            <w:bookmarkEnd w:id="133"/>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5</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考试</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ZB24008006</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经济大数据</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Big Data for Economics</w:t>
            </w:r>
          </w:p>
          <w:p>
            <w:pPr>
              <w:wordWrap w:val="0"/>
              <w:autoSpaceDE w:val="0"/>
              <w:autoSpaceDN w:val="0"/>
              <w:rPr>
                <w:rFonts w:ascii="Times New Roman" w:hAnsi="Times New Roman"/>
                <w:sz w:val="18"/>
                <w:szCs w:val="18"/>
              </w:rPr>
            </w:pPr>
            <w:r>
              <w:rPr>
                <w:rFonts w:ascii="Times New Roman" w:hAnsi="Times New Roman"/>
                <w:sz w:val="18"/>
                <w:szCs w:val="18"/>
              </w:rPr>
              <w:t>Economic</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48</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30</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18</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6</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考试</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p>
        </w:tc>
      </w:tr>
      <w:tr>
        <w:tblPrEx>
          <w:tblCellMar>
            <w:top w:w="0" w:type="dxa"/>
            <w:left w:w="108" w:type="dxa"/>
            <w:bottom w:w="0" w:type="dxa"/>
            <w:right w:w="108" w:type="dxa"/>
          </w:tblCellMar>
        </w:tblPrEx>
        <w:trPr>
          <w:trHeight w:val="358"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ZB24008007</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bookmarkStart w:id="134" w:name="OLE_LINK3"/>
            <w:r>
              <w:rPr>
                <w:rFonts w:ascii="Times New Roman" w:hAnsi="Times New Roman"/>
                <w:sz w:val="18"/>
                <w:szCs w:val="18"/>
              </w:rPr>
              <w:t>B必修</w:t>
            </w:r>
            <w:bookmarkEnd w:id="134"/>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人工智能与产业发展</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 xml:space="preserve">  Artificial Intelligence and Industrial Development</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6</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考试</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p>
        </w:tc>
      </w:tr>
      <w:bookmarkEnd w:id="129"/>
      <w:tr>
        <w:tblPrEx>
          <w:tblCellMar>
            <w:top w:w="0" w:type="dxa"/>
            <w:left w:w="108" w:type="dxa"/>
            <w:bottom w:w="0" w:type="dxa"/>
            <w:right w:w="108" w:type="dxa"/>
          </w:tblCellMar>
        </w:tblPrEx>
        <w:trPr>
          <w:trHeight w:val="322"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必修</w:t>
            </w:r>
          </w:p>
        </w:tc>
        <w:tc>
          <w:tcPr>
            <w:tcW w:w="5387" w:type="dxa"/>
            <w:gridSpan w:val="4"/>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专业核心课程 合计</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29.0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464</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488</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76</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w:t>
            </w:r>
          </w:p>
        </w:tc>
      </w:tr>
      <w:tr>
        <w:tblPrEx>
          <w:tblCellMar>
            <w:top w:w="0" w:type="dxa"/>
            <w:left w:w="108" w:type="dxa"/>
            <w:bottom w:w="0" w:type="dxa"/>
            <w:right w:w="108" w:type="dxa"/>
          </w:tblCellMar>
        </w:tblPrEx>
        <w:trPr>
          <w:trHeight w:val="314" w:hRule="exact"/>
          <w:jc w:val="center"/>
        </w:trPr>
        <w:tc>
          <w:tcPr>
            <w:tcW w:w="2535"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备注</w:t>
            </w:r>
          </w:p>
        </w:tc>
        <w:tc>
          <w:tcPr>
            <w:tcW w:w="13702" w:type="dxa"/>
            <w:gridSpan w:val="13"/>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r>
      <w:tr>
        <w:tblPrEx>
          <w:tblCellMar>
            <w:top w:w="0" w:type="dxa"/>
            <w:left w:w="108" w:type="dxa"/>
            <w:bottom w:w="0" w:type="dxa"/>
            <w:right w:w="108" w:type="dxa"/>
          </w:tblCellMar>
        </w:tblPrEx>
        <w:trPr>
          <w:trHeight w:val="45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127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377"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1771"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1963"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r>
      <w:tr>
        <w:tblPrEx>
          <w:tblCellMar>
            <w:top w:w="0" w:type="dxa"/>
            <w:left w:w="108" w:type="dxa"/>
            <w:bottom w:w="0" w:type="dxa"/>
            <w:right w:w="108" w:type="dxa"/>
          </w:tblCellMar>
        </w:tblPrEx>
        <w:trPr>
          <w:trHeight w:val="560"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课程代码</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课程类别</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课程中文名称</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课程英文名称</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总学分</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总学时</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理论讲授</w:t>
            </w:r>
          </w:p>
          <w:p>
            <w:pPr>
              <w:wordWrap w:val="0"/>
              <w:autoSpaceDE w:val="0"/>
              <w:autoSpaceDN w:val="0"/>
              <w:jc w:val="center"/>
              <w:rPr>
                <w:rFonts w:ascii="Times New Roman" w:hAnsi="Times New Roman"/>
                <w:sz w:val="18"/>
                <w:szCs w:val="18"/>
              </w:rPr>
            </w:pPr>
            <w:r>
              <w:rPr>
                <w:rFonts w:ascii="Times New Roman" w:hAnsi="Times New Roman"/>
                <w:sz w:val="18"/>
                <w:szCs w:val="18"/>
              </w:rPr>
              <w:t>学时</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实验实训</w:t>
            </w:r>
          </w:p>
          <w:p>
            <w:pPr>
              <w:wordWrap w:val="0"/>
              <w:autoSpaceDE w:val="0"/>
              <w:autoSpaceDN w:val="0"/>
              <w:jc w:val="center"/>
              <w:rPr>
                <w:rFonts w:ascii="Times New Roman" w:hAnsi="Times New Roman"/>
                <w:sz w:val="18"/>
                <w:szCs w:val="18"/>
              </w:rPr>
            </w:pPr>
            <w:r>
              <w:rPr>
                <w:rFonts w:ascii="Times New Roman" w:hAnsi="Times New Roman"/>
                <w:sz w:val="18"/>
                <w:szCs w:val="18"/>
              </w:rPr>
              <w:t>学时</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考试学期</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考核方式</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课程性质</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开课单位</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课程说明</w:t>
            </w:r>
          </w:p>
        </w:tc>
      </w:tr>
      <w:tr>
        <w:tblPrEx>
          <w:tblCellMar>
            <w:top w:w="0" w:type="dxa"/>
            <w:left w:w="108" w:type="dxa"/>
            <w:bottom w:w="0" w:type="dxa"/>
            <w:right w:w="108" w:type="dxa"/>
          </w:tblCellMar>
        </w:tblPrEx>
        <w:trPr>
          <w:trHeight w:val="305"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bookmarkStart w:id="135" w:name="_Hlk230992626"/>
            <w:r>
              <w:rPr>
                <w:rFonts w:ascii="Times New Roman" w:hAnsi="Times New Roman"/>
                <w:sz w:val="18"/>
                <w:szCs w:val="18"/>
              </w:rPr>
              <w:t>ZX24004421</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管理学原理</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Principles of Management</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2</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kern w:val="0"/>
                <w:sz w:val="18"/>
                <w:szCs w:val="18"/>
                <w:lang w:bidi="ar"/>
              </w:rPr>
              <w:t>理论拓展与提升模块</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ZX24008001</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bookmarkStart w:id="136" w:name="OLE_LINK10"/>
            <w:r>
              <w:rPr>
                <w:rFonts w:ascii="Times New Roman" w:hAnsi="Times New Roman"/>
                <w:sz w:val="18"/>
                <w:szCs w:val="18"/>
              </w:rPr>
              <w:t>数字经济沙盘实训</w:t>
            </w:r>
            <w:bookmarkEnd w:id="136"/>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Digital Economy Sandbox Training</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sz w:val="18"/>
                <w:szCs w:val="18"/>
              </w:rPr>
            </w:pPr>
            <w:r>
              <w:rPr>
                <w:rFonts w:ascii="Times New Roman" w:hAnsi="Times New Roman"/>
                <w:kern w:val="0"/>
                <w:sz w:val="18"/>
                <w:szCs w:val="18"/>
                <w:lang w:bidi="ar"/>
              </w:rPr>
              <w:t>应用分析与拔高模块</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ZX24003229</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Python语言</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Python programming Language</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16</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16</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sz w:val="18"/>
                <w:szCs w:val="18"/>
              </w:rPr>
            </w:pPr>
            <w:r>
              <w:rPr>
                <w:rFonts w:ascii="Times New Roman" w:hAnsi="Times New Roman"/>
                <w:kern w:val="0"/>
                <w:sz w:val="18"/>
                <w:szCs w:val="18"/>
                <w:lang w:bidi="ar"/>
              </w:rPr>
              <w:t>数字技能培养模块</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ZX24008002</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bookmarkStart w:id="137" w:name="OLE_LINK13"/>
            <w:r>
              <w:rPr>
                <w:rFonts w:ascii="Times New Roman" w:hAnsi="Times New Roman"/>
                <w:sz w:val="18"/>
                <w:szCs w:val="18"/>
              </w:rPr>
              <w:t>数理经济学</w:t>
            </w:r>
            <w:bookmarkEnd w:id="137"/>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Mathematical Economics</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48</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sz w:val="18"/>
                <w:szCs w:val="18"/>
              </w:rPr>
            </w:pPr>
            <w:r>
              <w:rPr>
                <w:rFonts w:ascii="Times New Roman" w:hAnsi="Times New Roman"/>
                <w:sz w:val="18"/>
                <w:szCs w:val="18"/>
              </w:rPr>
              <w:t>理论拓展与提升模块</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ZX24008003</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人工智能经济学</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Artificial Intelligence Economics</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sz w:val="18"/>
                <w:szCs w:val="18"/>
              </w:rPr>
            </w:pPr>
            <w:r>
              <w:rPr>
                <w:rFonts w:ascii="Times New Roman" w:hAnsi="Times New Roman"/>
                <w:sz w:val="18"/>
                <w:szCs w:val="18"/>
              </w:rPr>
              <w:t>理论拓展与提升模块</w:t>
            </w:r>
          </w:p>
        </w:tc>
      </w:tr>
      <w:tr>
        <w:tblPrEx>
          <w:tblCellMar>
            <w:top w:w="0" w:type="dxa"/>
            <w:left w:w="108" w:type="dxa"/>
            <w:bottom w:w="0" w:type="dxa"/>
            <w:right w:w="108" w:type="dxa"/>
          </w:tblCellMar>
        </w:tblPrEx>
        <w:trPr>
          <w:trHeight w:val="418"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ZX24008004</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数字经济创新实践</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Digital economy innovation practice</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4</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28</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kern w:val="0"/>
                <w:sz w:val="18"/>
                <w:szCs w:val="18"/>
                <w:lang w:bidi="ar"/>
              </w:rPr>
            </w:pPr>
            <w:bookmarkStart w:id="138" w:name="OLE_LINK2"/>
            <w:r>
              <w:rPr>
                <w:rFonts w:ascii="Times New Roman" w:hAnsi="Times New Roman"/>
                <w:kern w:val="0"/>
                <w:sz w:val="18"/>
                <w:szCs w:val="18"/>
                <w:lang w:bidi="ar"/>
              </w:rPr>
              <w:t>理论拓展与提升</w:t>
            </w:r>
            <w:bookmarkEnd w:id="138"/>
            <w:r>
              <w:rPr>
                <w:rFonts w:ascii="Times New Roman" w:hAnsi="Times New Roman"/>
                <w:kern w:val="0"/>
                <w:sz w:val="18"/>
                <w:szCs w:val="18"/>
                <w:lang w:bidi="ar"/>
              </w:rPr>
              <w:t>模块</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ZX24004693</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bookmarkStart w:id="139" w:name="OLE_LINK12"/>
            <w:r>
              <w:rPr>
                <w:rFonts w:ascii="Times New Roman" w:hAnsi="Times New Roman"/>
                <w:sz w:val="18"/>
                <w:szCs w:val="18"/>
              </w:rPr>
              <w:t>X选修</w:t>
            </w:r>
            <w:bookmarkEnd w:id="139"/>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专业写作：文献与阅读</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Professional writing</w:t>
            </w:r>
            <w:r>
              <w:rPr>
                <w:rFonts w:hint="eastAsia" w:ascii="Times New Roman" w:hAnsi="Times New Roman"/>
                <w:sz w:val="18"/>
                <w:szCs w:val="18"/>
                <w:lang w:eastAsia="zh-CN"/>
              </w:rPr>
              <w:t xml:space="preserve">: </w:t>
            </w:r>
            <w:r>
              <w:rPr>
                <w:rFonts w:ascii="Times New Roman" w:hAnsi="Times New Roman"/>
                <w:sz w:val="18"/>
                <w:szCs w:val="18"/>
              </w:rPr>
              <w:t xml:space="preserve">Literature </w:t>
            </w:r>
          </w:p>
          <w:p>
            <w:pPr>
              <w:wordWrap w:val="0"/>
              <w:autoSpaceDE w:val="0"/>
              <w:autoSpaceDN w:val="0"/>
              <w:jc w:val="center"/>
              <w:rPr>
                <w:rFonts w:ascii="Times New Roman" w:hAnsi="Times New Roman"/>
                <w:sz w:val="18"/>
                <w:szCs w:val="18"/>
              </w:rPr>
            </w:pPr>
            <w:r>
              <w:rPr>
                <w:rFonts w:ascii="Times New Roman" w:hAnsi="Times New Roman"/>
                <w:sz w:val="18"/>
                <w:szCs w:val="18"/>
              </w:rPr>
              <w:t>and Reading</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24</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8</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kern w:val="0"/>
                <w:sz w:val="18"/>
                <w:szCs w:val="18"/>
                <w:lang w:bidi="ar"/>
              </w:rPr>
            </w:pPr>
            <w:r>
              <w:rPr>
                <w:rFonts w:ascii="Times New Roman" w:hAnsi="Times New Roman"/>
                <w:kern w:val="0"/>
                <w:sz w:val="18"/>
                <w:szCs w:val="18"/>
                <w:lang w:bidi="ar"/>
              </w:rPr>
              <w:t>应用分析与拔高模块</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w:t>
            </w:r>
            <w:r>
              <w:rPr>
                <w:rFonts w:hint="eastAsia" w:ascii="Times New Roman" w:hAnsi="Times New Roman"/>
                <w:sz w:val="18"/>
                <w:szCs w:val="18"/>
              </w:rPr>
              <w:t>8024</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数据要素理论与实践</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The Theory and Practice of Data Elements</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24</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8</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kern w:val="0"/>
                <w:sz w:val="18"/>
                <w:szCs w:val="18"/>
                <w:lang w:bidi="ar"/>
              </w:rPr>
            </w:pPr>
            <w:r>
              <w:rPr>
                <w:rFonts w:ascii="Times New Roman" w:hAnsi="Times New Roman"/>
                <w:kern w:val="0"/>
                <w:sz w:val="18"/>
                <w:szCs w:val="18"/>
                <w:lang w:bidi="ar"/>
              </w:rPr>
              <w:t>理论拓展与提升</w:t>
            </w:r>
            <w:r>
              <w:rPr>
                <w:rFonts w:hint="eastAsia" w:ascii="Times New Roman" w:hAnsi="Times New Roman"/>
                <w:kern w:val="0"/>
                <w:sz w:val="18"/>
                <w:szCs w:val="18"/>
                <w:lang w:bidi="ar"/>
              </w:rPr>
              <w:t>模块</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w:t>
            </w:r>
            <w:r>
              <w:rPr>
                <w:rFonts w:hint="eastAsia" w:ascii="Times New Roman" w:hAnsi="Times New Roman"/>
                <w:sz w:val="18"/>
                <w:szCs w:val="18"/>
              </w:rPr>
              <w:t>8025</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数字经济治理与监管</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Digital economy governance and regulation</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24</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8</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kern w:val="0"/>
                <w:sz w:val="18"/>
                <w:szCs w:val="18"/>
                <w:lang w:bidi="ar"/>
              </w:rPr>
            </w:pPr>
            <w:r>
              <w:rPr>
                <w:rFonts w:ascii="Times New Roman" w:hAnsi="Times New Roman"/>
                <w:kern w:val="0"/>
                <w:sz w:val="18"/>
                <w:szCs w:val="18"/>
                <w:lang w:bidi="ar"/>
              </w:rPr>
              <w:t>应用分析与拔高模块</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ZX24004184</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专业英语</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Professional English</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kern w:val="0"/>
                <w:sz w:val="18"/>
                <w:szCs w:val="18"/>
                <w:lang w:bidi="ar"/>
              </w:rPr>
            </w:pPr>
            <w:r>
              <w:rPr>
                <w:rFonts w:ascii="Times New Roman" w:hAnsi="Times New Roman"/>
                <w:kern w:val="0"/>
                <w:sz w:val="18"/>
                <w:szCs w:val="18"/>
                <w:lang w:bidi="ar"/>
              </w:rPr>
              <w:t>应用分析与拔高模块</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ZX24008005</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大数据可视化</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Big Data Visualization</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16</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16</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kern w:val="0"/>
                <w:sz w:val="18"/>
                <w:szCs w:val="18"/>
                <w:lang w:bidi="ar"/>
              </w:rPr>
            </w:pPr>
            <w:r>
              <w:rPr>
                <w:rFonts w:ascii="Times New Roman" w:hAnsi="Times New Roman"/>
                <w:kern w:val="0"/>
                <w:sz w:val="18"/>
                <w:szCs w:val="18"/>
                <w:lang w:bidi="ar"/>
              </w:rPr>
              <w:t>数字技能培养模块</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ZX24008006</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数据库基础</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Database Foundation</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16</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16</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sz w:val="18"/>
                <w:szCs w:val="18"/>
              </w:rPr>
            </w:pPr>
            <w:r>
              <w:rPr>
                <w:rFonts w:ascii="Times New Roman" w:hAnsi="Times New Roman"/>
                <w:sz w:val="18"/>
                <w:szCs w:val="18"/>
              </w:rPr>
              <w:t>数字技能培养模块</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ZX24008007</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平台经济学</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Platform Economics</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4</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sz w:val="18"/>
                <w:szCs w:val="18"/>
              </w:rPr>
            </w:pPr>
            <w:r>
              <w:rPr>
                <w:rFonts w:ascii="Times New Roman" w:hAnsi="Times New Roman"/>
                <w:sz w:val="18"/>
                <w:szCs w:val="18"/>
              </w:rPr>
              <w:t>理论拓展与提升模块</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ZX24008008</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数字商务</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Digital Commerce</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4</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sz w:val="18"/>
                <w:szCs w:val="18"/>
              </w:rPr>
            </w:pPr>
            <w:r>
              <w:rPr>
                <w:rFonts w:ascii="Times New Roman" w:hAnsi="Times New Roman"/>
                <w:sz w:val="18"/>
                <w:szCs w:val="18"/>
              </w:rPr>
              <w:t>理论拓展与提升模块</w:t>
            </w:r>
          </w:p>
        </w:tc>
      </w:tr>
      <w:tr>
        <w:tblPrEx>
          <w:tblCellMar>
            <w:top w:w="0" w:type="dxa"/>
            <w:left w:w="108" w:type="dxa"/>
            <w:bottom w:w="0" w:type="dxa"/>
            <w:right w:w="108" w:type="dxa"/>
          </w:tblCellMar>
        </w:tblPrEx>
        <w:trPr>
          <w:trHeight w:val="713"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ZX24008009</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中国数字经济发展专题</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 xml:space="preserve">   Special Topic on China's Digital Economy Development</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4</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sz w:val="18"/>
                <w:szCs w:val="18"/>
              </w:rPr>
            </w:pPr>
            <w:r>
              <w:rPr>
                <w:rFonts w:ascii="Times New Roman" w:hAnsi="Times New Roman"/>
                <w:sz w:val="18"/>
                <w:szCs w:val="18"/>
              </w:rPr>
              <w:t>应用分析与拔高模块</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ZX24008010</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大数据与经济决策</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Big Data and Economic Decision-making</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24</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8</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4</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sz w:val="18"/>
                <w:szCs w:val="18"/>
              </w:rPr>
            </w:pPr>
            <w:r>
              <w:rPr>
                <w:rFonts w:ascii="Times New Roman" w:hAnsi="Times New Roman"/>
                <w:sz w:val="18"/>
                <w:szCs w:val="18"/>
              </w:rPr>
              <w:t>应用分析与拔高模块</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ZX24004731</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市场调查与预测</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Marketing Research &amp; Forecasting</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24</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8</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4</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sz w:val="18"/>
                <w:szCs w:val="18"/>
              </w:rPr>
            </w:pPr>
            <w:r>
              <w:rPr>
                <w:rFonts w:ascii="Times New Roman" w:hAnsi="Times New Roman"/>
                <w:kern w:val="0"/>
                <w:sz w:val="18"/>
                <w:szCs w:val="18"/>
                <w:lang w:bidi="ar"/>
              </w:rPr>
              <w:t>应用分析与拔高模块</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ZX24003250</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专业写作：方法与数据</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 xml:space="preserve">Professional writing </w:t>
            </w:r>
            <w:r>
              <w:rPr>
                <w:rFonts w:hint="eastAsia" w:ascii="Times New Roman" w:hAnsi="Times New Roman"/>
                <w:sz w:val="18"/>
                <w:szCs w:val="18"/>
                <w:lang w:eastAsia="zh-CN"/>
              </w:rPr>
              <w:t xml:space="preserve">: </w:t>
            </w:r>
            <w:r>
              <w:rPr>
                <w:rFonts w:ascii="Times New Roman" w:hAnsi="Times New Roman"/>
                <w:sz w:val="18"/>
                <w:szCs w:val="18"/>
              </w:rPr>
              <w:t xml:space="preserve">Methods and </w:t>
            </w:r>
          </w:p>
          <w:p>
            <w:pPr>
              <w:wordWrap w:val="0"/>
              <w:autoSpaceDE w:val="0"/>
              <w:autoSpaceDN w:val="0"/>
              <w:jc w:val="center"/>
              <w:rPr>
                <w:rFonts w:ascii="Times New Roman" w:hAnsi="Times New Roman"/>
                <w:sz w:val="18"/>
                <w:szCs w:val="18"/>
              </w:rPr>
            </w:pPr>
            <w:r>
              <w:rPr>
                <w:rFonts w:ascii="Times New Roman" w:hAnsi="Times New Roman"/>
                <w:sz w:val="18"/>
                <w:szCs w:val="18"/>
              </w:rPr>
              <w:t>Data</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24</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8</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4</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sz w:val="18"/>
                <w:szCs w:val="18"/>
              </w:rPr>
            </w:pPr>
            <w:r>
              <w:rPr>
                <w:rFonts w:ascii="Times New Roman" w:hAnsi="Times New Roman"/>
                <w:kern w:val="0"/>
                <w:sz w:val="18"/>
                <w:szCs w:val="18"/>
                <w:lang w:bidi="ar"/>
              </w:rPr>
              <w:t>应用分析与拔高模块</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ZX24008011</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运筹学</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Operations Research</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16</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16</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4</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kern w:val="0"/>
                <w:sz w:val="18"/>
                <w:szCs w:val="18"/>
                <w:lang w:bidi="ar"/>
              </w:rPr>
            </w:pPr>
            <w:r>
              <w:rPr>
                <w:rFonts w:ascii="Times New Roman" w:hAnsi="Times New Roman"/>
                <w:kern w:val="0"/>
                <w:sz w:val="18"/>
                <w:szCs w:val="18"/>
                <w:lang w:bidi="ar"/>
              </w:rPr>
              <w:t>数字技能培养模块</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ZX24008012</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数据结构与算法</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Data Structures and Algorithms</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16</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16</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4</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kern w:val="0"/>
                <w:sz w:val="18"/>
                <w:szCs w:val="18"/>
                <w:lang w:bidi="ar"/>
              </w:rPr>
            </w:pPr>
            <w:r>
              <w:rPr>
                <w:rFonts w:ascii="Times New Roman" w:hAnsi="Times New Roman"/>
                <w:kern w:val="0"/>
                <w:sz w:val="18"/>
                <w:szCs w:val="18"/>
                <w:lang w:bidi="ar"/>
              </w:rPr>
              <w:t>数字技能培养模块</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ZX24003589</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经济博弈论</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Economic Game Theory</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24</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8</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5</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sz w:val="18"/>
                <w:szCs w:val="18"/>
              </w:rPr>
            </w:pPr>
            <w:r>
              <w:rPr>
                <w:rFonts w:ascii="Times New Roman" w:hAnsi="Times New Roman"/>
                <w:kern w:val="0"/>
                <w:sz w:val="18"/>
                <w:szCs w:val="18"/>
                <w:lang w:bidi="ar"/>
              </w:rPr>
              <w:t>理论拓展与提升模块</w:t>
            </w:r>
          </w:p>
        </w:tc>
      </w:tr>
      <w:tr>
        <w:tblPrEx>
          <w:tblCellMar>
            <w:top w:w="0" w:type="dxa"/>
            <w:left w:w="108" w:type="dxa"/>
            <w:bottom w:w="0" w:type="dxa"/>
            <w:right w:w="108" w:type="dxa"/>
          </w:tblCellMar>
        </w:tblPrEx>
        <w:trPr>
          <w:trHeight w:val="320"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ZX24008013</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数据资产</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Data assets</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5</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sz w:val="18"/>
                <w:szCs w:val="18"/>
              </w:rPr>
            </w:pPr>
            <w:r>
              <w:rPr>
                <w:rFonts w:ascii="Times New Roman" w:hAnsi="Times New Roman"/>
                <w:sz w:val="18"/>
                <w:szCs w:val="18"/>
              </w:rPr>
              <w:t>理论拓展与提升模块</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ZX24008014</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数字政府与社会</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Digital Government and Society</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5</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sz w:val="18"/>
                <w:szCs w:val="18"/>
              </w:rPr>
            </w:pPr>
            <w:r>
              <w:rPr>
                <w:rFonts w:ascii="Times New Roman" w:hAnsi="Times New Roman"/>
                <w:sz w:val="18"/>
                <w:szCs w:val="18"/>
              </w:rPr>
              <w:t>理论拓展与提升模块</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ZX24008015</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数字贸易实务与规则</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Digital Trade Practices and Rules</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24</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8</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5</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sz w:val="18"/>
                <w:szCs w:val="18"/>
              </w:rPr>
            </w:pPr>
            <w:r>
              <w:rPr>
                <w:rFonts w:ascii="Times New Roman" w:hAnsi="Times New Roman"/>
                <w:sz w:val="18"/>
                <w:szCs w:val="18"/>
              </w:rPr>
              <w:t>应用分析与拔高模块</w:t>
            </w:r>
          </w:p>
        </w:tc>
      </w:tr>
      <w:tr>
        <w:tblPrEx>
          <w:tblCellMar>
            <w:top w:w="0" w:type="dxa"/>
            <w:left w:w="108" w:type="dxa"/>
            <w:bottom w:w="0" w:type="dxa"/>
            <w:right w:w="108" w:type="dxa"/>
          </w:tblCellMar>
        </w:tblPrEx>
        <w:trPr>
          <w:trHeight w:val="70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ZX24008016</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产业数字化转型案例分析</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Analysis of Industrial Digital Transformation Cases</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5</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sz w:val="18"/>
                <w:szCs w:val="18"/>
              </w:rPr>
            </w:pPr>
            <w:r>
              <w:rPr>
                <w:rFonts w:ascii="Times New Roman" w:hAnsi="Times New Roman"/>
                <w:sz w:val="18"/>
                <w:szCs w:val="18"/>
              </w:rPr>
              <w:t>应用分析与拔高模块</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28"/>
              </w:rPr>
              <w:t>ZX24004691</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2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28"/>
              </w:rPr>
              <w:t>经济法</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28"/>
              </w:rPr>
              <w:t>Economic Law</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2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2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2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2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28"/>
              </w:rPr>
              <w:t>5</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2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2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2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sz w:val="18"/>
                <w:szCs w:val="18"/>
              </w:rPr>
            </w:pPr>
            <w:r>
              <w:rPr>
                <w:rFonts w:ascii="Times New Roman" w:hAnsi="Times New Roman"/>
                <w:kern w:val="0"/>
                <w:sz w:val="18"/>
                <w:szCs w:val="18"/>
                <w:lang w:bidi="ar"/>
              </w:rPr>
              <w:t>应用分析与拔高模块</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ZX24004201</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应用数学（基础）</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Applied Mathematics (Basic)</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5</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sz w:val="18"/>
                <w:szCs w:val="18"/>
              </w:rPr>
            </w:pPr>
            <w:r>
              <w:rPr>
                <w:rFonts w:ascii="Times New Roman" w:hAnsi="Times New Roman"/>
                <w:kern w:val="0"/>
                <w:sz w:val="18"/>
                <w:szCs w:val="18"/>
                <w:lang w:bidi="ar"/>
              </w:rPr>
              <w:t>应用分析与拔高模块</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ZX24003215</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Python数据分析</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Python Data Analysis</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16</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16</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5</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sz w:val="18"/>
                <w:szCs w:val="18"/>
              </w:rPr>
            </w:pPr>
            <w:r>
              <w:rPr>
                <w:rFonts w:ascii="Times New Roman" w:hAnsi="Times New Roman"/>
                <w:kern w:val="0"/>
                <w:sz w:val="18"/>
                <w:szCs w:val="18"/>
                <w:lang w:bidi="ar"/>
              </w:rPr>
              <w:t>数字技能培养模块</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ZX24008017</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大模型应用</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Application of Large Models</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16</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16</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5</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sz w:val="18"/>
                <w:szCs w:val="18"/>
              </w:rPr>
            </w:pPr>
            <w:r>
              <w:rPr>
                <w:rFonts w:ascii="Times New Roman" w:hAnsi="Times New Roman"/>
                <w:sz w:val="18"/>
                <w:szCs w:val="18"/>
              </w:rPr>
              <w:t>数字技能培养模块</w:t>
            </w:r>
          </w:p>
        </w:tc>
      </w:tr>
      <w:bookmarkEnd w:id="135"/>
      <w:tr>
        <w:tblPrEx>
          <w:tblCellMar>
            <w:top w:w="0" w:type="dxa"/>
            <w:left w:w="108" w:type="dxa"/>
            <w:bottom w:w="0" w:type="dxa"/>
            <w:right w:w="108" w:type="dxa"/>
          </w:tblCellMar>
        </w:tblPrEx>
        <w:trPr>
          <w:trHeight w:val="338"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ZX24003395</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bookmarkStart w:id="140" w:name="OLE_LINK16"/>
            <w:r>
              <w:rPr>
                <w:rFonts w:ascii="Times New Roman" w:hAnsi="Times New Roman"/>
                <w:sz w:val="18"/>
                <w:szCs w:val="18"/>
              </w:rPr>
              <w:t>RPA财务机器人</w:t>
            </w:r>
            <w:bookmarkEnd w:id="140"/>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 xml:space="preserve">RPA Financial Robot </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0</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5</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sz w:val="18"/>
                <w:szCs w:val="18"/>
              </w:rPr>
            </w:pPr>
            <w:r>
              <w:rPr>
                <w:rFonts w:ascii="Times New Roman" w:hAnsi="Times New Roman"/>
                <w:sz w:val="18"/>
                <w:szCs w:val="18"/>
              </w:rPr>
              <w:t>专业素质拓展模块</w:t>
            </w:r>
          </w:p>
        </w:tc>
      </w:tr>
      <w:tr>
        <w:tblPrEx>
          <w:tblCellMar>
            <w:top w:w="0" w:type="dxa"/>
            <w:left w:w="108" w:type="dxa"/>
            <w:bottom w:w="0" w:type="dxa"/>
            <w:right w:w="108" w:type="dxa"/>
          </w:tblCellMar>
        </w:tblPrEx>
        <w:trPr>
          <w:trHeight w:val="697"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ZX24002512</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智慧银行数字化运营决策仿真实验</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 xml:space="preserve">  Simulation Experiment on Digital Operation Decision-making of Smart Banks</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64</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0</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64</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5</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独立设置实验课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sz w:val="18"/>
                <w:szCs w:val="18"/>
              </w:rPr>
            </w:pPr>
            <w:r>
              <w:rPr>
                <w:rFonts w:ascii="Times New Roman" w:hAnsi="Times New Roman"/>
                <w:sz w:val="18"/>
                <w:szCs w:val="18"/>
              </w:rPr>
              <w:t>专业素质拓展模块</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ZX24008018</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网络经济学</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Network Economics</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6</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sz w:val="18"/>
                <w:szCs w:val="18"/>
              </w:rPr>
            </w:pPr>
            <w:r>
              <w:rPr>
                <w:rFonts w:ascii="Times New Roman" w:hAnsi="Times New Roman"/>
                <w:sz w:val="18"/>
                <w:szCs w:val="18"/>
              </w:rPr>
              <w:t>理论拓展与提升模块</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ZX24003678</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绿色经济学</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Green Economics</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6</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sz w:val="18"/>
                <w:szCs w:val="18"/>
              </w:rPr>
            </w:pPr>
            <w:r>
              <w:rPr>
                <w:rFonts w:ascii="Times New Roman" w:hAnsi="Times New Roman"/>
                <w:kern w:val="0"/>
                <w:sz w:val="18"/>
                <w:szCs w:val="18"/>
                <w:lang w:bidi="ar"/>
              </w:rPr>
              <w:t>理论拓展与提升模块</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ZX03002470</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AI与当代经济</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AI and Current Economics</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6</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sz w:val="18"/>
                <w:szCs w:val="18"/>
              </w:rPr>
            </w:pPr>
            <w:r>
              <w:rPr>
                <w:rFonts w:ascii="Times New Roman" w:hAnsi="Times New Roman"/>
                <w:kern w:val="0"/>
                <w:sz w:val="18"/>
                <w:szCs w:val="18"/>
                <w:lang w:bidi="ar"/>
              </w:rPr>
              <w:t>理论拓展与提升模块</w:t>
            </w:r>
          </w:p>
        </w:tc>
      </w:tr>
      <w:tr>
        <w:tblPrEx>
          <w:tblCellMar>
            <w:top w:w="0" w:type="dxa"/>
            <w:left w:w="108" w:type="dxa"/>
            <w:bottom w:w="0" w:type="dxa"/>
            <w:right w:w="108" w:type="dxa"/>
          </w:tblCellMar>
        </w:tblPrEx>
        <w:trPr>
          <w:trHeight w:val="621"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ZX24008019</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中国—东盟数字经济产业合作专题</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 xml:space="preserve">    China-ASEAN Digital Economy Industry Cooperation Special Topic</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6</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sz w:val="18"/>
                <w:szCs w:val="18"/>
              </w:rPr>
            </w:pPr>
            <w:r>
              <w:rPr>
                <w:rFonts w:ascii="Times New Roman" w:hAnsi="Times New Roman"/>
                <w:sz w:val="18"/>
                <w:szCs w:val="18"/>
              </w:rPr>
              <w:t>应用分析与拔高模块</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ZX24003240</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专业写作：应用与训练</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Professional writing</w:t>
            </w:r>
            <w:r>
              <w:rPr>
                <w:rFonts w:hint="eastAsia" w:ascii="Times New Roman" w:hAnsi="Times New Roman"/>
                <w:sz w:val="18"/>
                <w:szCs w:val="18"/>
                <w:lang w:eastAsia="zh-CN"/>
              </w:rPr>
              <w:t xml:space="preserve">: </w:t>
            </w:r>
            <w:r>
              <w:rPr>
                <w:rFonts w:ascii="Times New Roman" w:hAnsi="Times New Roman"/>
                <w:sz w:val="18"/>
                <w:szCs w:val="18"/>
              </w:rPr>
              <w:t xml:space="preserve">Application </w:t>
            </w:r>
          </w:p>
          <w:p>
            <w:pPr>
              <w:wordWrap w:val="0"/>
              <w:autoSpaceDE w:val="0"/>
              <w:autoSpaceDN w:val="0"/>
              <w:jc w:val="center"/>
              <w:rPr>
                <w:rFonts w:ascii="Times New Roman" w:hAnsi="Times New Roman"/>
                <w:sz w:val="18"/>
                <w:szCs w:val="18"/>
              </w:rPr>
            </w:pPr>
            <w:r>
              <w:rPr>
                <w:rFonts w:ascii="Times New Roman" w:hAnsi="Times New Roman"/>
                <w:sz w:val="18"/>
                <w:szCs w:val="18"/>
              </w:rPr>
              <w:t>and Training</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24</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8</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6</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sz w:val="18"/>
                <w:szCs w:val="18"/>
              </w:rPr>
            </w:pPr>
            <w:r>
              <w:rPr>
                <w:rFonts w:ascii="Times New Roman" w:hAnsi="Times New Roman"/>
                <w:kern w:val="0"/>
                <w:sz w:val="18"/>
                <w:szCs w:val="18"/>
                <w:lang w:bidi="ar"/>
              </w:rPr>
              <w:t>应用分析与拔高模块</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ZX24008020</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bookmarkStart w:id="141" w:name="OLE_LINK17"/>
            <w:r>
              <w:rPr>
                <w:rFonts w:ascii="Times New Roman" w:hAnsi="Times New Roman"/>
                <w:sz w:val="18"/>
                <w:szCs w:val="18"/>
              </w:rPr>
              <w:t>智慧财政</w:t>
            </w:r>
            <w:bookmarkEnd w:id="141"/>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Smart Finance</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6</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sz w:val="18"/>
                <w:szCs w:val="18"/>
              </w:rPr>
            </w:pPr>
            <w:r>
              <w:rPr>
                <w:rFonts w:ascii="Times New Roman" w:hAnsi="Times New Roman"/>
                <w:sz w:val="18"/>
                <w:szCs w:val="18"/>
              </w:rPr>
              <w:t>应用分析与拔高模块</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ZX24004202</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应用数学（提高 ）</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Applied Mathematics (Improvement)</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6</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sz w:val="18"/>
                <w:szCs w:val="18"/>
              </w:rPr>
            </w:pPr>
            <w:r>
              <w:rPr>
                <w:rFonts w:ascii="Times New Roman" w:hAnsi="Times New Roman"/>
                <w:kern w:val="0"/>
                <w:sz w:val="18"/>
                <w:szCs w:val="18"/>
                <w:lang w:bidi="ar"/>
              </w:rPr>
              <w:t>应用分析与拔高模块</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ZX24008021</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时间序列分析</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Time series analysis</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16</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16</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6</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sz w:val="18"/>
                <w:szCs w:val="18"/>
              </w:rPr>
            </w:pPr>
            <w:r>
              <w:rPr>
                <w:rFonts w:ascii="Times New Roman" w:hAnsi="Times New Roman"/>
                <w:sz w:val="18"/>
                <w:szCs w:val="18"/>
              </w:rPr>
              <w:t>数字技能培养模块</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ZX24008022</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面板数据分析</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Panel data analysis</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16</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16</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6</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sz w:val="18"/>
                <w:szCs w:val="18"/>
              </w:rPr>
            </w:pPr>
            <w:r>
              <w:rPr>
                <w:rFonts w:ascii="Times New Roman" w:hAnsi="Times New Roman"/>
                <w:sz w:val="18"/>
                <w:szCs w:val="18"/>
              </w:rPr>
              <w:t>数字技能培养模块</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ZX24003591</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Stata大数据分析</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Stata Big Data Analysis</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16</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16</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6</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sz w:val="18"/>
                <w:szCs w:val="18"/>
              </w:rPr>
            </w:pPr>
            <w:r>
              <w:rPr>
                <w:rFonts w:ascii="Times New Roman" w:hAnsi="Times New Roman"/>
                <w:kern w:val="0"/>
                <w:sz w:val="18"/>
                <w:szCs w:val="18"/>
                <w:lang w:bidi="ar"/>
              </w:rPr>
              <w:t>数字技能培养模块</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ZX24008023</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机器学习与因果推断</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Machine Learning and Causal Inference</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16</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16</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6</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sz w:val="18"/>
                <w:szCs w:val="18"/>
              </w:rPr>
            </w:pPr>
            <w:r>
              <w:rPr>
                <w:rFonts w:ascii="Times New Roman" w:hAnsi="Times New Roman"/>
                <w:sz w:val="18"/>
                <w:szCs w:val="18"/>
              </w:rPr>
              <w:t>数字技能培养模块</w:t>
            </w:r>
          </w:p>
        </w:tc>
      </w:tr>
      <w:tr>
        <w:tblPrEx>
          <w:tblCellMar>
            <w:top w:w="0" w:type="dxa"/>
            <w:left w:w="108" w:type="dxa"/>
            <w:bottom w:w="0" w:type="dxa"/>
            <w:right w:w="108" w:type="dxa"/>
          </w:tblCellMar>
        </w:tblPrEx>
        <w:trPr>
          <w:trHeight w:val="595"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ZX24003155</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数智时代的薪酬管理</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Compensation Management in the Digital Age</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6</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sz w:val="18"/>
                <w:szCs w:val="18"/>
              </w:rPr>
            </w:pPr>
            <w:r>
              <w:rPr>
                <w:rFonts w:ascii="Times New Roman" w:hAnsi="Times New Roman"/>
                <w:sz w:val="18"/>
                <w:szCs w:val="18"/>
              </w:rPr>
              <w:t>专业素质拓展模块</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ZX24003050</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商务智能与决策分析</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Business Intelligence and Decision Analysis</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24</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8</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6</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sz w:val="18"/>
                <w:szCs w:val="18"/>
              </w:rPr>
            </w:pPr>
            <w:r>
              <w:rPr>
                <w:rFonts w:ascii="Times New Roman" w:hAnsi="Times New Roman"/>
                <w:sz w:val="18"/>
                <w:szCs w:val="18"/>
              </w:rPr>
              <w:t>专业素质拓展模块</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ZX24005027</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行为与实验经济学</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 xml:space="preserve">Behavioral and Experimental </w:t>
            </w:r>
          </w:p>
          <w:p>
            <w:pPr>
              <w:wordWrap w:val="0"/>
              <w:autoSpaceDE w:val="0"/>
              <w:autoSpaceDN w:val="0"/>
              <w:jc w:val="center"/>
              <w:rPr>
                <w:rFonts w:ascii="Times New Roman" w:hAnsi="Times New Roman"/>
                <w:sz w:val="18"/>
                <w:szCs w:val="18"/>
              </w:rPr>
            </w:pPr>
            <w:r>
              <w:rPr>
                <w:rFonts w:ascii="Times New Roman" w:hAnsi="Times New Roman"/>
                <w:sz w:val="18"/>
                <w:szCs w:val="18"/>
              </w:rPr>
              <w:t>Economics</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24</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8</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7</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sz w:val="18"/>
                <w:szCs w:val="18"/>
              </w:rPr>
            </w:pPr>
            <w:r>
              <w:rPr>
                <w:rFonts w:ascii="Times New Roman" w:hAnsi="Times New Roman"/>
                <w:kern w:val="0"/>
                <w:sz w:val="18"/>
                <w:szCs w:val="18"/>
                <w:lang w:bidi="ar"/>
              </w:rPr>
              <w:t>理论拓展与提升模块</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ZX24004203</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应用数学（强化）</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 xml:space="preserve">Applied Mathematics </w:t>
            </w:r>
          </w:p>
          <w:p>
            <w:pPr>
              <w:wordWrap w:val="0"/>
              <w:autoSpaceDE w:val="0"/>
              <w:autoSpaceDN w:val="0"/>
              <w:jc w:val="center"/>
              <w:rPr>
                <w:rFonts w:ascii="Times New Roman" w:hAnsi="Times New Roman"/>
                <w:sz w:val="18"/>
                <w:szCs w:val="18"/>
              </w:rPr>
            </w:pPr>
            <w:r>
              <w:rPr>
                <w:rFonts w:ascii="Times New Roman" w:hAnsi="Times New Roman"/>
                <w:sz w:val="18"/>
                <w:szCs w:val="18"/>
              </w:rPr>
              <w:t>(Strengthening)</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7</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sz w:val="18"/>
                <w:szCs w:val="18"/>
              </w:rPr>
            </w:pPr>
            <w:r>
              <w:rPr>
                <w:rFonts w:ascii="Times New Roman" w:hAnsi="Times New Roman"/>
                <w:kern w:val="0"/>
                <w:sz w:val="18"/>
                <w:szCs w:val="18"/>
                <w:lang w:bidi="ar"/>
              </w:rPr>
              <w:t>应用分析与拔高模块</w:t>
            </w:r>
          </w:p>
        </w:tc>
      </w:tr>
      <w:tr>
        <w:tblPrEx>
          <w:tblCellMar>
            <w:top w:w="0" w:type="dxa"/>
            <w:left w:w="108" w:type="dxa"/>
            <w:bottom w:w="0" w:type="dxa"/>
            <w:right w:w="108" w:type="dxa"/>
          </w:tblCellMar>
        </w:tblPrEx>
        <w:trPr>
          <w:trHeight w:val="314"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ZX24004810</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X选修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互联网金融与理财学</w:t>
            </w:r>
          </w:p>
        </w:tc>
        <w:tc>
          <w:tcPr>
            <w:tcW w:w="3734"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Internet finance and chrematistics</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2.0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16</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16</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sz w:val="18"/>
                <w:szCs w:val="18"/>
              </w:rPr>
            </w:pPr>
            <w:r>
              <w:rPr>
                <w:rFonts w:ascii="Times New Roman" w:hAnsi="Times New Roman"/>
                <w:sz w:val="18"/>
                <w:szCs w:val="18"/>
              </w:rPr>
              <w:t>7</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考查</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理论课</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sz w:val="18"/>
                <w:szCs w:val="18"/>
              </w:rPr>
            </w:pPr>
            <w:r>
              <w:rPr>
                <w:rFonts w:ascii="Times New Roman" w:hAnsi="Times New Roman"/>
                <w:sz w:val="18"/>
                <w:szCs w:val="18"/>
              </w:rPr>
              <w:t>经济管理学院</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sz w:val="18"/>
                <w:szCs w:val="18"/>
              </w:rPr>
            </w:pPr>
            <w:r>
              <w:rPr>
                <w:rFonts w:ascii="Times New Roman" w:hAnsi="Times New Roman"/>
                <w:kern w:val="0"/>
                <w:sz w:val="18"/>
                <w:szCs w:val="18"/>
                <w:lang w:bidi="ar"/>
              </w:rPr>
              <w:t>专业素质拓展模块</w:t>
            </w:r>
          </w:p>
        </w:tc>
      </w:tr>
      <w:tr>
        <w:tblPrEx>
          <w:tblCellMar>
            <w:top w:w="0" w:type="dxa"/>
            <w:left w:w="108" w:type="dxa"/>
            <w:bottom w:w="0" w:type="dxa"/>
            <w:right w:w="108" w:type="dxa"/>
          </w:tblCellMar>
        </w:tblPrEx>
        <w:trPr>
          <w:trHeight w:val="322" w:hRule="exact"/>
          <w:jc w:val="center"/>
        </w:trPr>
        <w:tc>
          <w:tcPr>
            <w:tcW w:w="7922" w:type="dxa"/>
            <w:gridSpan w:val="6"/>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选修 小计（至少应修读学分数）</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3</w:t>
            </w:r>
            <w:r>
              <w:rPr>
                <w:rFonts w:hint="eastAsia" w:ascii="Times New Roman" w:hAnsi="Times New Roman"/>
                <w:sz w:val="18"/>
                <w:szCs w:val="28"/>
              </w:rPr>
              <w:t>5</w:t>
            </w:r>
            <w:r>
              <w:rPr>
                <w:rFonts w:ascii="Times New Roman" w:hAnsi="Times New Roman"/>
                <w:sz w:val="18"/>
                <w:szCs w:val="28"/>
              </w:rPr>
              <w:t>.0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r>
      <w:tr>
        <w:tblPrEx>
          <w:tblCellMar>
            <w:top w:w="0" w:type="dxa"/>
            <w:left w:w="108" w:type="dxa"/>
            <w:bottom w:w="0" w:type="dxa"/>
            <w:right w:w="108" w:type="dxa"/>
          </w:tblCellMar>
        </w:tblPrEx>
        <w:trPr>
          <w:trHeight w:val="322"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选修</w:t>
            </w:r>
          </w:p>
        </w:tc>
        <w:tc>
          <w:tcPr>
            <w:tcW w:w="5387" w:type="dxa"/>
            <w:gridSpan w:val="4"/>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专业拓展课程 合计</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9</w:t>
            </w:r>
            <w:r>
              <w:rPr>
                <w:rFonts w:hint="eastAsia" w:ascii="Times New Roman" w:hAnsi="Times New Roman"/>
                <w:sz w:val="18"/>
                <w:szCs w:val="28"/>
              </w:rPr>
              <w:t>4</w:t>
            </w:r>
            <w:r>
              <w:rPr>
                <w:rFonts w:ascii="Times New Roman" w:hAnsi="Times New Roman"/>
                <w:sz w:val="18"/>
                <w:szCs w:val="28"/>
              </w:rPr>
              <w:t>.0</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Times New Roman" w:hAnsi="Times New Roman"/>
                <w:sz w:val="18"/>
                <w:szCs w:val="28"/>
              </w:rPr>
              <w:t>1552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11</w:t>
            </w:r>
            <w:r>
              <w:rPr>
                <w:rFonts w:hint="eastAsia" w:ascii="Times New Roman" w:hAnsi="Times New Roman"/>
                <w:sz w:val="18"/>
                <w:szCs w:val="28"/>
              </w:rPr>
              <w:t>32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hint="eastAsia" w:ascii="Times New Roman" w:hAnsi="Times New Roman"/>
                <w:sz w:val="18"/>
                <w:szCs w:val="28"/>
              </w:rPr>
              <w:t>404</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r>
      <w:tr>
        <w:tblPrEx>
          <w:tblCellMar>
            <w:top w:w="0" w:type="dxa"/>
            <w:left w:w="108" w:type="dxa"/>
            <w:bottom w:w="0" w:type="dxa"/>
            <w:right w:w="108" w:type="dxa"/>
          </w:tblCellMar>
        </w:tblPrEx>
        <w:trPr>
          <w:trHeight w:val="314" w:hRule="exact"/>
          <w:jc w:val="center"/>
        </w:trPr>
        <w:tc>
          <w:tcPr>
            <w:tcW w:w="2535"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备注</w:t>
            </w:r>
          </w:p>
        </w:tc>
        <w:tc>
          <w:tcPr>
            <w:tcW w:w="13702" w:type="dxa"/>
            <w:gridSpan w:val="13"/>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r>
      <w:tr>
        <w:tblPrEx>
          <w:tblCellMar>
            <w:top w:w="0" w:type="dxa"/>
            <w:left w:w="108" w:type="dxa"/>
            <w:bottom w:w="0" w:type="dxa"/>
            <w:right w:w="108" w:type="dxa"/>
          </w:tblCellMar>
        </w:tblPrEx>
        <w:trPr>
          <w:trHeight w:val="183"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127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377"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1771"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1963"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r>
      <w:tr>
        <w:tblPrEx>
          <w:tblCellMar>
            <w:top w:w="0" w:type="dxa"/>
            <w:left w:w="108" w:type="dxa"/>
            <w:bottom w:w="0" w:type="dxa"/>
            <w:right w:w="108" w:type="dxa"/>
          </w:tblCellMar>
        </w:tblPrEx>
        <w:trPr>
          <w:trHeight w:val="342" w:hRule="exact"/>
          <w:jc w:val="center"/>
        </w:trPr>
        <w:tc>
          <w:tcPr>
            <w:tcW w:w="3811" w:type="dxa"/>
            <w:gridSpan w:val="3"/>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pPr>
            <w:r>
              <w:rPr>
                <w:rFonts w:hint="eastAsia" w:ascii="宋体"/>
                <w:b/>
                <w:sz w:val="24"/>
                <w:szCs w:val="28"/>
              </w:rPr>
              <w:t>三、实践教学课程平台</w:t>
            </w:r>
          </w:p>
        </w:tc>
        <w:tc>
          <w:tcPr>
            <w:tcW w:w="377"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bottom"/>
          </w:tcPr>
          <w:p>
            <w:pPr>
              <w:wordWrap w:val="0"/>
              <w:autoSpaceDE w:val="0"/>
              <w:autoSpaceDN w:val="0"/>
              <w:jc w:val="center"/>
            </w:pPr>
          </w:p>
        </w:tc>
        <w:tc>
          <w:tcPr>
            <w:tcW w:w="1771"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bottom"/>
          </w:tcPr>
          <w:p>
            <w:pPr>
              <w:wordWrap w:val="0"/>
              <w:autoSpaceDE w:val="0"/>
              <w:autoSpaceDN w:val="0"/>
              <w:jc w:val="center"/>
            </w:pPr>
          </w:p>
        </w:tc>
        <w:tc>
          <w:tcPr>
            <w:tcW w:w="1963"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bottom"/>
          </w:tcPr>
          <w:p>
            <w:pPr>
              <w:wordWrap w:val="0"/>
              <w:autoSpaceDE w:val="0"/>
              <w:autoSpaceDN w:val="0"/>
              <w:jc w:val="center"/>
            </w:pP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bottom"/>
          </w:tcPr>
          <w:p>
            <w:pPr>
              <w:wordWrap w:val="0"/>
              <w:autoSpaceDE w:val="0"/>
              <w:autoSpaceDN w:val="0"/>
              <w:jc w:val="center"/>
            </w:pP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bottom"/>
          </w:tcPr>
          <w:p>
            <w:pPr>
              <w:wordWrap w:val="0"/>
              <w:autoSpaceDE w:val="0"/>
              <w:autoSpaceDN w:val="0"/>
              <w:jc w:val="center"/>
            </w:pP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bottom"/>
          </w:tcPr>
          <w:p>
            <w:pPr>
              <w:wordWrap w:val="0"/>
              <w:autoSpaceDE w:val="0"/>
              <w:autoSpaceDN w:val="0"/>
              <w:jc w:val="center"/>
            </w:pP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bottom"/>
          </w:tcPr>
          <w:p>
            <w:pPr>
              <w:wordWrap w:val="0"/>
              <w:autoSpaceDE w:val="0"/>
              <w:autoSpaceDN w:val="0"/>
              <w:jc w:val="center"/>
            </w:pP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bottom"/>
          </w:tcPr>
          <w:p>
            <w:pPr>
              <w:wordWrap w:val="0"/>
              <w:autoSpaceDE w:val="0"/>
              <w:autoSpaceDN w:val="0"/>
              <w:jc w:val="center"/>
            </w:pP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bottom"/>
          </w:tcPr>
          <w:p>
            <w:pPr>
              <w:wordWrap w:val="0"/>
              <w:autoSpaceDE w:val="0"/>
              <w:autoSpaceDN w:val="0"/>
              <w:jc w:val="center"/>
            </w:pP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bottom"/>
          </w:tcPr>
          <w:p>
            <w:pPr>
              <w:wordWrap w:val="0"/>
              <w:autoSpaceDE w:val="0"/>
              <w:autoSpaceDN w:val="0"/>
              <w:jc w:val="center"/>
            </w:pP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pP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pPr>
          </w:p>
        </w:tc>
      </w:tr>
      <w:tr>
        <w:tblPrEx>
          <w:tblCellMar>
            <w:top w:w="0" w:type="dxa"/>
            <w:left w:w="108" w:type="dxa"/>
            <w:bottom w:w="0" w:type="dxa"/>
            <w:right w:w="108" w:type="dxa"/>
          </w:tblCellMar>
        </w:tblPrEx>
        <w:trPr>
          <w:trHeight w:val="560"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课程代码</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课程类别</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课程中文名称</w:t>
            </w:r>
          </w:p>
        </w:tc>
        <w:tc>
          <w:tcPr>
            <w:tcW w:w="4350" w:type="dxa"/>
            <w:gridSpan w:val="3"/>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课程英文名称</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总学分</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总学时</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理论讲授</w:t>
            </w:r>
          </w:p>
          <w:p>
            <w:pPr>
              <w:wordWrap w:val="0"/>
              <w:autoSpaceDE w:val="0"/>
              <w:autoSpaceDN w:val="0"/>
              <w:jc w:val="center"/>
              <w:rPr>
                <w:rFonts w:ascii="Times New Roman" w:hAnsi="Times New Roman"/>
              </w:rPr>
            </w:pPr>
            <w:r>
              <w:rPr>
                <w:rFonts w:ascii="Times New Roman" w:hAnsi="Times New Roman"/>
                <w:sz w:val="18"/>
                <w:szCs w:val="28"/>
              </w:rPr>
              <w:t>学时</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实验实训</w:t>
            </w:r>
          </w:p>
          <w:p>
            <w:pPr>
              <w:wordWrap w:val="0"/>
              <w:autoSpaceDE w:val="0"/>
              <w:autoSpaceDN w:val="0"/>
              <w:jc w:val="center"/>
              <w:rPr>
                <w:rFonts w:ascii="Times New Roman" w:hAnsi="Times New Roman"/>
              </w:rPr>
            </w:pPr>
            <w:r>
              <w:rPr>
                <w:rFonts w:ascii="Times New Roman" w:hAnsi="Times New Roman"/>
                <w:sz w:val="18"/>
                <w:szCs w:val="28"/>
              </w:rPr>
              <w:t>学时</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考试学期</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考核方式</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课程性质</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开课单位</w:t>
            </w:r>
          </w:p>
        </w:tc>
      </w:tr>
      <w:tr>
        <w:tblPrEx>
          <w:tblCellMar>
            <w:top w:w="0" w:type="dxa"/>
            <w:left w:w="108" w:type="dxa"/>
            <w:bottom w:w="0" w:type="dxa"/>
            <w:right w:w="108" w:type="dxa"/>
          </w:tblCellMar>
        </w:tblPrEx>
        <w:trPr>
          <w:trHeight w:val="560"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SB28002913</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军事技能</w:t>
            </w:r>
          </w:p>
        </w:tc>
        <w:tc>
          <w:tcPr>
            <w:tcW w:w="4350" w:type="dxa"/>
            <w:gridSpan w:val="3"/>
            <w:tcBorders>
              <w:top w:val="single" w:color="auto" w:sz="4" w:space="0"/>
              <w:left w:val="single" w:color="auto" w:sz="4" w:space="0"/>
              <w:bottom w:val="single" w:color="auto" w:sz="4" w:space="0"/>
              <w:right w:val="single" w:color="auto" w:sz="4" w:space="0"/>
            </w:tcBorders>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Military Training</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2.0</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rPr>
            </w:pPr>
            <w:r>
              <w:rPr>
                <w:rFonts w:ascii="Times New Roman" w:hAnsi="Times New Roman"/>
                <w:kern w:val="0"/>
                <w:sz w:val="18"/>
                <w:szCs w:val="18"/>
                <w:lang w:bidi="ar"/>
              </w:rPr>
              <w:t>2周</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rPr>
            </w:pPr>
            <w:r>
              <w:rPr>
                <w:rFonts w:ascii="Times New Roman" w:hAnsi="Times New Roman"/>
                <w:kern w:val="0"/>
                <w:sz w:val="18"/>
                <w:szCs w:val="18"/>
                <w:lang w:bidi="ar"/>
              </w:rPr>
              <w:t>2周</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1</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考查</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独立设置实验</w:t>
            </w:r>
          </w:p>
          <w:p>
            <w:pPr>
              <w:wordWrap w:val="0"/>
              <w:autoSpaceDE w:val="0"/>
              <w:autoSpaceDN w:val="0"/>
              <w:jc w:val="center"/>
              <w:rPr>
                <w:rFonts w:ascii="Times New Roman" w:hAnsi="Times New Roman"/>
              </w:rPr>
            </w:pPr>
            <w:r>
              <w:rPr>
                <w:rFonts w:ascii="Times New Roman" w:hAnsi="Times New Roman"/>
                <w:sz w:val="18"/>
                <w:szCs w:val="28"/>
              </w:rPr>
              <w:t>课</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党委武装部/保</w:t>
            </w:r>
          </w:p>
          <w:p>
            <w:pPr>
              <w:wordWrap w:val="0"/>
              <w:autoSpaceDE w:val="0"/>
              <w:autoSpaceDN w:val="0"/>
              <w:jc w:val="center"/>
              <w:rPr>
                <w:rFonts w:ascii="Times New Roman" w:hAnsi="Times New Roman"/>
              </w:rPr>
            </w:pPr>
            <w:r>
              <w:rPr>
                <w:rFonts w:ascii="Times New Roman" w:hAnsi="Times New Roman"/>
                <w:sz w:val="18"/>
                <w:szCs w:val="28"/>
              </w:rPr>
              <w:t>卫处</w:t>
            </w:r>
          </w:p>
        </w:tc>
      </w:tr>
      <w:tr>
        <w:tblPrEx>
          <w:tblCellMar>
            <w:top w:w="0" w:type="dxa"/>
            <w:left w:w="108" w:type="dxa"/>
            <w:bottom w:w="0" w:type="dxa"/>
            <w:right w:w="108" w:type="dxa"/>
          </w:tblCellMar>
        </w:tblPrEx>
        <w:trPr>
          <w:trHeight w:val="560"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SB28001032</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专业见习</w:t>
            </w:r>
          </w:p>
        </w:tc>
        <w:tc>
          <w:tcPr>
            <w:tcW w:w="4350" w:type="dxa"/>
            <w:gridSpan w:val="3"/>
            <w:tcBorders>
              <w:top w:val="single" w:color="auto" w:sz="4" w:space="0"/>
              <w:left w:val="single" w:color="auto" w:sz="4" w:space="0"/>
              <w:bottom w:val="single" w:color="auto" w:sz="4" w:space="0"/>
              <w:right w:val="single" w:color="auto" w:sz="4" w:space="0"/>
            </w:tcBorders>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Professional Apprentices</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1.0</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rPr>
            </w:pPr>
            <w:r>
              <w:rPr>
                <w:rFonts w:ascii="Times New Roman" w:hAnsi="Times New Roman"/>
                <w:kern w:val="0"/>
                <w:sz w:val="18"/>
                <w:szCs w:val="18"/>
                <w:lang w:bidi="ar"/>
              </w:rPr>
              <w:t>2周</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rPr>
            </w:pPr>
            <w:r>
              <w:rPr>
                <w:rFonts w:ascii="Times New Roman" w:hAnsi="Times New Roman"/>
                <w:kern w:val="0"/>
                <w:sz w:val="18"/>
                <w:szCs w:val="18"/>
                <w:lang w:bidi="ar"/>
              </w:rPr>
              <w:t>2周</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5</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考查</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独立设置实验</w:t>
            </w:r>
          </w:p>
          <w:p>
            <w:pPr>
              <w:wordWrap w:val="0"/>
              <w:autoSpaceDE w:val="0"/>
              <w:autoSpaceDN w:val="0"/>
              <w:jc w:val="center"/>
              <w:rPr>
                <w:rFonts w:ascii="Times New Roman" w:hAnsi="Times New Roman"/>
              </w:rPr>
            </w:pPr>
            <w:r>
              <w:rPr>
                <w:rFonts w:ascii="Times New Roman" w:hAnsi="Times New Roman"/>
                <w:sz w:val="18"/>
                <w:szCs w:val="28"/>
              </w:rPr>
              <w:t>课</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经济管理学院</w:t>
            </w:r>
          </w:p>
        </w:tc>
      </w:tr>
      <w:tr>
        <w:tblPrEx>
          <w:tblCellMar>
            <w:top w:w="0" w:type="dxa"/>
            <w:left w:w="108" w:type="dxa"/>
            <w:bottom w:w="0" w:type="dxa"/>
            <w:right w:w="108" w:type="dxa"/>
          </w:tblCellMar>
        </w:tblPrEx>
        <w:trPr>
          <w:trHeight w:val="560"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SB28001031</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专业实习</w:t>
            </w:r>
          </w:p>
        </w:tc>
        <w:tc>
          <w:tcPr>
            <w:tcW w:w="4350" w:type="dxa"/>
            <w:gridSpan w:val="3"/>
            <w:tcBorders>
              <w:top w:val="single" w:color="auto" w:sz="4" w:space="0"/>
              <w:left w:val="single" w:color="auto" w:sz="4" w:space="0"/>
              <w:bottom w:val="single" w:color="auto" w:sz="4" w:space="0"/>
              <w:right w:val="single" w:color="auto" w:sz="4" w:space="0"/>
            </w:tcBorders>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Professional Internship</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3.0</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rPr>
            </w:pPr>
            <w:r>
              <w:rPr>
                <w:rFonts w:ascii="Times New Roman" w:hAnsi="Times New Roman"/>
                <w:kern w:val="0"/>
                <w:sz w:val="18"/>
                <w:szCs w:val="18"/>
                <w:lang w:bidi="ar"/>
              </w:rPr>
              <w:t>8周</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rPr>
            </w:pPr>
            <w:r>
              <w:rPr>
                <w:rFonts w:ascii="Times New Roman" w:hAnsi="Times New Roman"/>
                <w:kern w:val="0"/>
                <w:sz w:val="18"/>
                <w:szCs w:val="18"/>
                <w:lang w:bidi="ar"/>
              </w:rPr>
              <w:t>8周</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7</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考查</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独立设置实验</w:t>
            </w:r>
          </w:p>
          <w:p>
            <w:pPr>
              <w:wordWrap w:val="0"/>
              <w:autoSpaceDE w:val="0"/>
              <w:autoSpaceDN w:val="0"/>
              <w:jc w:val="center"/>
              <w:rPr>
                <w:rFonts w:ascii="Times New Roman" w:hAnsi="Times New Roman"/>
              </w:rPr>
            </w:pPr>
            <w:r>
              <w:rPr>
                <w:rFonts w:ascii="Times New Roman" w:hAnsi="Times New Roman"/>
                <w:sz w:val="18"/>
                <w:szCs w:val="28"/>
              </w:rPr>
              <w:t>课</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经济管理学院</w:t>
            </w:r>
          </w:p>
        </w:tc>
      </w:tr>
      <w:tr>
        <w:tblPrEx>
          <w:tblCellMar>
            <w:top w:w="0" w:type="dxa"/>
            <w:left w:w="108" w:type="dxa"/>
            <w:bottom w:w="0" w:type="dxa"/>
            <w:right w:w="108" w:type="dxa"/>
          </w:tblCellMar>
        </w:tblPrEx>
        <w:trPr>
          <w:trHeight w:val="560"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SB28003713</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劳动教育</w:t>
            </w:r>
          </w:p>
        </w:tc>
        <w:tc>
          <w:tcPr>
            <w:tcW w:w="4350" w:type="dxa"/>
            <w:gridSpan w:val="3"/>
            <w:tcBorders>
              <w:top w:val="single" w:color="auto" w:sz="4" w:space="0"/>
              <w:left w:val="single" w:color="auto" w:sz="4" w:space="0"/>
              <w:bottom w:val="single" w:color="auto" w:sz="4" w:space="0"/>
              <w:right w:val="single" w:color="auto" w:sz="4" w:space="0"/>
            </w:tcBorders>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Labor Education</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1.0</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rPr>
            </w:pPr>
            <w:r>
              <w:rPr>
                <w:rFonts w:ascii="Times New Roman" w:hAnsi="Times New Roman"/>
                <w:kern w:val="0"/>
                <w:sz w:val="18"/>
                <w:szCs w:val="18"/>
                <w:lang w:bidi="ar"/>
              </w:rPr>
              <w:t>8周</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rPr>
            </w:pPr>
            <w:r>
              <w:rPr>
                <w:rFonts w:ascii="Times New Roman" w:hAnsi="Times New Roman"/>
                <w:kern w:val="0"/>
                <w:sz w:val="18"/>
                <w:szCs w:val="18"/>
                <w:lang w:bidi="ar"/>
              </w:rPr>
              <w:t>8周</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8</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考查</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独立设置实验</w:t>
            </w:r>
          </w:p>
          <w:p>
            <w:pPr>
              <w:wordWrap w:val="0"/>
              <w:autoSpaceDE w:val="0"/>
              <w:autoSpaceDN w:val="0"/>
              <w:jc w:val="center"/>
              <w:rPr>
                <w:rFonts w:ascii="Times New Roman" w:hAnsi="Times New Roman"/>
              </w:rPr>
            </w:pPr>
            <w:r>
              <w:rPr>
                <w:rFonts w:ascii="Times New Roman" w:hAnsi="Times New Roman"/>
                <w:sz w:val="18"/>
                <w:szCs w:val="28"/>
              </w:rPr>
              <w:t>课</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学生工作部</w:t>
            </w:r>
          </w:p>
          <w:p>
            <w:pPr>
              <w:wordWrap w:val="0"/>
              <w:autoSpaceDE w:val="0"/>
              <w:autoSpaceDN w:val="0"/>
              <w:jc w:val="center"/>
              <w:rPr>
                <w:rFonts w:ascii="Times New Roman" w:hAnsi="Times New Roman"/>
              </w:rPr>
            </w:pPr>
            <w:r>
              <w:rPr>
                <w:rFonts w:ascii="Times New Roman" w:hAnsi="Times New Roman"/>
                <w:sz w:val="18"/>
                <w:szCs w:val="28"/>
              </w:rPr>
              <w:t>（处）</w:t>
            </w:r>
          </w:p>
        </w:tc>
      </w:tr>
      <w:tr>
        <w:tblPrEx>
          <w:tblCellMar>
            <w:top w:w="0" w:type="dxa"/>
            <w:left w:w="108" w:type="dxa"/>
            <w:bottom w:w="0" w:type="dxa"/>
            <w:right w:w="108" w:type="dxa"/>
          </w:tblCellMar>
        </w:tblPrEx>
        <w:trPr>
          <w:trHeight w:val="560"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SB28002713</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社会实践</w:t>
            </w:r>
          </w:p>
        </w:tc>
        <w:tc>
          <w:tcPr>
            <w:tcW w:w="4350" w:type="dxa"/>
            <w:gridSpan w:val="3"/>
            <w:tcBorders>
              <w:top w:val="single" w:color="auto" w:sz="4" w:space="0"/>
              <w:left w:val="single" w:color="auto" w:sz="4" w:space="0"/>
              <w:bottom w:val="single" w:color="auto" w:sz="4" w:space="0"/>
              <w:right w:val="single" w:color="auto" w:sz="4" w:space="0"/>
            </w:tcBorders>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Social Practice</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1.0</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rPr>
            </w:pPr>
            <w:r>
              <w:rPr>
                <w:rFonts w:ascii="Times New Roman" w:hAnsi="Times New Roman"/>
                <w:kern w:val="0"/>
                <w:sz w:val="18"/>
                <w:szCs w:val="18"/>
                <w:lang w:bidi="ar"/>
              </w:rPr>
              <w:t>8周</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rPr>
            </w:pPr>
            <w:r>
              <w:rPr>
                <w:rFonts w:ascii="Times New Roman" w:hAnsi="Times New Roman"/>
                <w:kern w:val="0"/>
                <w:sz w:val="18"/>
                <w:szCs w:val="18"/>
                <w:lang w:bidi="ar"/>
              </w:rPr>
              <w:t>8周</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8</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考查</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独立设置实验</w:t>
            </w:r>
          </w:p>
          <w:p>
            <w:pPr>
              <w:wordWrap w:val="0"/>
              <w:autoSpaceDE w:val="0"/>
              <w:autoSpaceDN w:val="0"/>
              <w:jc w:val="center"/>
              <w:rPr>
                <w:rFonts w:ascii="Times New Roman" w:hAnsi="Times New Roman"/>
              </w:rPr>
            </w:pPr>
            <w:r>
              <w:rPr>
                <w:rFonts w:ascii="Times New Roman" w:hAnsi="Times New Roman"/>
                <w:sz w:val="18"/>
                <w:szCs w:val="28"/>
              </w:rPr>
              <w:t>课</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经济管理学院</w:t>
            </w:r>
          </w:p>
        </w:tc>
      </w:tr>
      <w:tr>
        <w:tblPrEx>
          <w:tblCellMar>
            <w:top w:w="0" w:type="dxa"/>
            <w:left w:w="108" w:type="dxa"/>
            <w:bottom w:w="0" w:type="dxa"/>
            <w:right w:w="108" w:type="dxa"/>
          </w:tblCellMar>
        </w:tblPrEx>
        <w:trPr>
          <w:trHeight w:val="560"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SB28001041</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B必修</w:t>
            </w:r>
          </w:p>
        </w:tc>
        <w:tc>
          <w:tcPr>
            <w:tcW w:w="1653"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毕业论文（设计）</w:t>
            </w:r>
          </w:p>
        </w:tc>
        <w:tc>
          <w:tcPr>
            <w:tcW w:w="4350" w:type="dxa"/>
            <w:gridSpan w:val="3"/>
            <w:tcBorders>
              <w:top w:val="single" w:color="auto" w:sz="4" w:space="0"/>
              <w:left w:val="single" w:color="auto" w:sz="4" w:space="0"/>
              <w:bottom w:val="single" w:color="auto" w:sz="4" w:space="0"/>
              <w:right w:val="single" w:color="auto" w:sz="4" w:space="0"/>
            </w:tcBorders>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Graduation Thesis (Design)</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4.0</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rPr>
            </w:pPr>
            <w:r>
              <w:rPr>
                <w:rFonts w:ascii="Times New Roman" w:hAnsi="Times New Roman"/>
                <w:kern w:val="0"/>
                <w:sz w:val="18"/>
                <w:szCs w:val="18"/>
                <w:lang w:bidi="ar"/>
              </w:rPr>
              <w:t>10周</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rPr>
            </w:pPr>
            <w:r>
              <w:rPr>
                <w:rFonts w:ascii="Times New Roman" w:hAnsi="Times New Roman"/>
                <w:kern w:val="0"/>
                <w:sz w:val="18"/>
                <w:szCs w:val="18"/>
                <w:lang w:bidi="ar"/>
              </w:rPr>
              <w:t>10周</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8</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考查</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独立设置实验</w:t>
            </w:r>
          </w:p>
          <w:p>
            <w:pPr>
              <w:wordWrap w:val="0"/>
              <w:autoSpaceDE w:val="0"/>
              <w:autoSpaceDN w:val="0"/>
              <w:jc w:val="center"/>
              <w:rPr>
                <w:rFonts w:ascii="Times New Roman" w:hAnsi="Times New Roman"/>
              </w:rPr>
            </w:pPr>
            <w:r>
              <w:rPr>
                <w:rFonts w:ascii="Times New Roman" w:hAnsi="Times New Roman"/>
                <w:sz w:val="18"/>
                <w:szCs w:val="28"/>
              </w:rPr>
              <w:t>课</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经济管理学院</w:t>
            </w:r>
          </w:p>
        </w:tc>
      </w:tr>
      <w:tr>
        <w:tblPrEx>
          <w:tblCellMar>
            <w:top w:w="0" w:type="dxa"/>
            <w:left w:w="108" w:type="dxa"/>
            <w:bottom w:w="0" w:type="dxa"/>
            <w:right w:w="108" w:type="dxa"/>
          </w:tblCellMar>
        </w:tblPrEx>
        <w:trPr>
          <w:trHeight w:val="322" w:hRule="exact"/>
          <w:jc w:val="center"/>
        </w:trPr>
        <w:tc>
          <w:tcPr>
            <w:tcW w:w="8538" w:type="dxa"/>
            <w:gridSpan w:val="7"/>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必修 小计</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12.0</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rPr>
            </w:pPr>
            <w:r>
              <w:rPr>
                <w:rFonts w:ascii="Times New Roman" w:hAnsi="Times New Roman"/>
                <w:kern w:val="0"/>
                <w:sz w:val="18"/>
                <w:szCs w:val="18"/>
                <w:lang w:bidi="ar"/>
              </w:rPr>
              <w:t>38周</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idowControl/>
              <w:jc w:val="center"/>
              <w:textAlignment w:val="center"/>
              <w:rPr>
                <w:rFonts w:ascii="Times New Roman" w:hAnsi="Times New Roman"/>
              </w:rPr>
            </w:pPr>
            <w:r>
              <w:rPr>
                <w:rFonts w:ascii="Times New Roman" w:hAnsi="Times New Roman"/>
                <w:kern w:val="0"/>
                <w:sz w:val="18"/>
                <w:szCs w:val="18"/>
                <w:lang w:bidi="ar"/>
              </w:rPr>
              <w:t>38周</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r>
      <w:tr>
        <w:tblPrEx>
          <w:tblCellMar>
            <w:top w:w="0" w:type="dxa"/>
            <w:left w:w="108" w:type="dxa"/>
            <w:bottom w:w="0" w:type="dxa"/>
            <w:right w:w="108" w:type="dxa"/>
          </w:tblCellMar>
        </w:tblPrEx>
        <w:trPr>
          <w:trHeight w:val="322" w:hRule="exact"/>
          <w:jc w:val="center"/>
        </w:trPr>
        <w:tc>
          <w:tcPr>
            <w:tcW w:w="8538" w:type="dxa"/>
            <w:gridSpan w:val="7"/>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实践教学课程 合计</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12.0</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kern w:val="0"/>
                <w:sz w:val="18"/>
                <w:szCs w:val="18"/>
                <w:lang w:bidi="ar"/>
              </w:rPr>
              <w:t>38周</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0</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kern w:val="0"/>
                <w:sz w:val="18"/>
                <w:szCs w:val="18"/>
                <w:lang w:bidi="ar"/>
              </w:rPr>
              <w:t>38周</w:t>
            </w: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w:t>
            </w:r>
          </w:p>
        </w:tc>
      </w:tr>
      <w:tr>
        <w:tblPrEx>
          <w:tblCellMar>
            <w:top w:w="0" w:type="dxa"/>
            <w:left w:w="108" w:type="dxa"/>
            <w:bottom w:w="0" w:type="dxa"/>
            <w:right w:w="108" w:type="dxa"/>
          </w:tblCellMar>
        </w:tblPrEx>
        <w:trPr>
          <w:trHeight w:val="284" w:hRule="exact"/>
          <w:jc w:val="center"/>
        </w:trPr>
        <w:tc>
          <w:tcPr>
            <w:tcW w:w="3811" w:type="dxa"/>
            <w:gridSpan w:val="3"/>
            <w:vMerge w:val="restart"/>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备注</w:t>
            </w:r>
          </w:p>
        </w:tc>
        <w:tc>
          <w:tcPr>
            <w:tcW w:w="12426" w:type="dxa"/>
            <w:gridSpan w:val="1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（1）本平台中的学时数以周为单位录入系统，见习、实习、研习、毕业论文（设计）的具体学时以1学分对应32学时计算。</w:t>
            </w:r>
          </w:p>
        </w:tc>
      </w:tr>
      <w:tr>
        <w:tblPrEx>
          <w:tblCellMar>
            <w:top w:w="0" w:type="dxa"/>
            <w:left w:w="108" w:type="dxa"/>
            <w:bottom w:w="0" w:type="dxa"/>
            <w:right w:w="108" w:type="dxa"/>
          </w:tblCellMar>
        </w:tblPrEx>
        <w:trPr>
          <w:trHeight w:val="284" w:hRule="exact"/>
          <w:jc w:val="center"/>
        </w:trPr>
        <w:tc>
          <w:tcPr>
            <w:tcW w:w="3811" w:type="dxa"/>
            <w:gridSpan w:val="3"/>
            <w:vMerge w:val="continue"/>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rPr>
                <w:rFonts w:ascii="Times New Roman" w:hAnsi="Times New Roman"/>
              </w:rPr>
            </w:pPr>
          </w:p>
        </w:tc>
        <w:tc>
          <w:tcPr>
            <w:tcW w:w="12426" w:type="dxa"/>
            <w:gridSpan w:val="1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（2） 多学期开课的课程，成绩在最后一学期录入。</w:t>
            </w:r>
          </w:p>
        </w:tc>
      </w:tr>
      <w:tr>
        <w:tblPrEx>
          <w:tblCellMar>
            <w:top w:w="0" w:type="dxa"/>
            <w:left w:w="108" w:type="dxa"/>
            <w:bottom w:w="0" w:type="dxa"/>
            <w:right w:w="108" w:type="dxa"/>
          </w:tblCellMar>
        </w:tblPrEx>
        <w:trPr>
          <w:trHeight w:val="361" w:hRule="exact"/>
          <w:jc w:val="center"/>
        </w:trPr>
        <w:tc>
          <w:tcPr>
            <w:tcW w:w="110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127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377"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1771"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1963"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r>
      <w:tr>
        <w:tblPrEx>
          <w:tblCellMar>
            <w:top w:w="0" w:type="dxa"/>
            <w:left w:w="108" w:type="dxa"/>
            <w:bottom w:w="0" w:type="dxa"/>
            <w:right w:w="108" w:type="dxa"/>
          </w:tblCellMar>
        </w:tblPrEx>
        <w:trPr>
          <w:trHeight w:val="342" w:hRule="exact"/>
          <w:jc w:val="center"/>
        </w:trPr>
        <w:tc>
          <w:tcPr>
            <w:tcW w:w="4188" w:type="dxa"/>
            <w:gridSpan w:val="4"/>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b/>
                <w:sz w:val="24"/>
                <w:szCs w:val="28"/>
              </w:rPr>
              <w:t>四、毕业最低学分要求及分布</w:t>
            </w:r>
          </w:p>
        </w:tc>
        <w:tc>
          <w:tcPr>
            <w:tcW w:w="1771"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bottom"/>
          </w:tcPr>
          <w:p>
            <w:pPr>
              <w:wordWrap w:val="0"/>
              <w:autoSpaceDE w:val="0"/>
              <w:autoSpaceDN w:val="0"/>
              <w:jc w:val="center"/>
              <w:rPr>
                <w:rFonts w:ascii="Times New Roman" w:hAnsi="Times New Roman"/>
              </w:rPr>
            </w:pPr>
          </w:p>
        </w:tc>
        <w:tc>
          <w:tcPr>
            <w:tcW w:w="1963"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bottom"/>
          </w:tcPr>
          <w:p>
            <w:pPr>
              <w:wordWrap w:val="0"/>
              <w:autoSpaceDE w:val="0"/>
              <w:autoSpaceDN w:val="0"/>
              <w:jc w:val="center"/>
              <w:rPr>
                <w:rFonts w:ascii="Times New Roman" w:hAnsi="Times New Roman"/>
              </w:rPr>
            </w:pP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bottom"/>
          </w:tcPr>
          <w:p>
            <w:pPr>
              <w:wordWrap w:val="0"/>
              <w:autoSpaceDE w:val="0"/>
              <w:autoSpaceDN w:val="0"/>
              <w:jc w:val="center"/>
              <w:rPr>
                <w:rFonts w:ascii="Times New Roman" w:hAnsi="Times New Roman"/>
              </w:rPr>
            </w:pP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bottom"/>
          </w:tcPr>
          <w:p>
            <w:pPr>
              <w:wordWrap w:val="0"/>
              <w:autoSpaceDE w:val="0"/>
              <w:autoSpaceDN w:val="0"/>
              <w:jc w:val="center"/>
              <w:rPr>
                <w:rFonts w:ascii="Times New Roman" w:hAnsi="Times New Roman"/>
              </w:rPr>
            </w:pP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bottom"/>
          </w:tcPr>
          <w:p>
            <w:pPr>
              <w:wordWrap w:val="0"/>
              <w:autoSpaceDE w:val="0"/>
              <w:autoSpaceDN w:val="0"/>
              <w:jc w:val="center"/>
              <w:rPr>
                <w:rFonts w:ascii="Times New Roman" w:hAnsi="Times New Roman"/>
              </w:rPr>
            </w:pP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bottom"/>
          </w:tcPr>
          <w:p>
            <w:pPr>
              <w:wordWrap w:val="0"/>
              <w:autoSpaceDE w:val="0"/>
              <w:autoSpaceDN w:val="0"/>
              <w:jc w:val="center"/>
              <w:rPr>
                <w:rFonts w:ascii="Times New Roman" w:hAnsi="Times New Roman"/>
              </w:rPr>
            </w:pP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bottom"/>
          </w:tcPr>
          <w:p>
            <w:pPr>
              <w:wordWrap w:val="0"/>
              <w:autoSpaceDE w:val="0"/>
              <w:autoSpaceDN w:val="0"/>
              <w:jc w:val="center"/>
              <w:rPr>
                <w:rFonts w:ascii="Times New Roman" w:hAnsi="Times New Roman"/>
              </w:rPr>
            </w:pPr>
          </w:p>
        </w:tc>
        <w:tc>
          <w:tcPr>
            <w:tcW w:w="84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bottom"/>
          </w:tcPr>
          <w:p>
            <w:pPr>
              <w:wordWrap w:val="0"/>
              <w:autoSpaceDE w:val="0"/>
              <w:autoSpaceDN w:val="0"/>
              <w:jc w:val="center"/>
              <w:rPr>
                <w:rFonts w:ascii="Times New Roman" w:hAnsi="Times New Roman"/>
              </w:rPr>
            </w:pPr>
          </w:p>
        </w:tc>
        <w:tc>
          <w:tcPr>
            <w:tcW w:w="95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bottom"/>
          </w:tcPr>
          <w:p>
            <w:pPr>
              <w:wordWrap w:val="0"/>
              <w:autoSpaceDE w:val="0"/>
              <w:autoSpaceDN w:val="0"/>
              <w:jc w:val="center"/>
              <w:rPr>
                <w:rFonts w:ascii="Times New Roman" w:hAnsi="Times New Roman"/>
              </w:rPr>
            </w:pPr>
          </w:p>
        </w:tc>
        <w:tc>
          <w:tcPr>
            <w:tcW w:w="129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bottom"/>
          </w:tcPr>
          <w:p>
            <w:pPr>
              <w:wordWrap w:val="0"/>
              <w:autoSpaceDE w:val="0"/>
              <w:autoSpaceDN w:val="0"/>
              <w:jc w:val="center"/>
              <w:rPr>
                <w:rFonts w:ascii="Times New Roman" w:hAnsi="Times New Roman"/>
              </w:rPr>
            </w:pPr>
          </w:p>
        </w:tc>
        <w:tc>
          <w:tcPr>
            <w:tcW w:w="136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bottom"/>
          </w:tcPr>
          <w:p>
            <w:pPr>
              <w:wordWrap w:val="0"/>
              <w:autoSpaceDE w:val="0"/>
              <w:autoSpaceDN w:val="0"/>
              <w:jc w:val="center"/>
              <w:rPr>
                <w:rFonts w:ascii="Times New Roman" w:hAnsi="Times New Roman"/>
              </w:rPr>
            </w:pPr>
          </w:p>
        </w:tc>
      </w:tr>
      <w:tr>
        <w:tblPrEx>
          <w:tblCellMar>
            <w:top w:w="0" w:type="dxa"/>
            <w:left w:w="108" w:type="dxa"/>
            <w:bottom w:w="0" w:type="dxa"/>
            <w:right w:w="108" w:type="dxa"/>
          </w:tblCellMar>
        </w:tblPrEx>
        <w:trPr>
          <w:trHeight w:val="284" w:hRule="exact"/>
          <w:jc w:val="center"/>
        </w:trPr>
        <w:tc>
          <w:tcPr>
            <w:tcW w:w="1100" w:type="dxa"/>
            <w:vMerge w:val="restart"/>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课程平台与</w:t>
            </w:r>
          </w:p>
          <w:p>
            <w:pPr>
              <w:wordWrap w:val="0"/>
              <w:autoSpaceDE w:val="0"/>
              <w:autoSpaceDN w:val="0"/>
              <w:jc w:val="center"/>
              <w:rPr>
                <w:rFonts w:ascii="Times New Roman" w:hAnsi="Times New Roman"/>
              </w:rPr>
            </w:pPr>
            <w:r>
              <w:rPr>
                <w:rFonts w:ascii="Times New Roman" w:hAnsi="Times New Roman"/>
                <w:sz w:val="18"/>
                <w:szCs w:val="28"/>
              </w:rPr>
              <w:t>性质</w:t>
            </w:r>
          </w:p>
        </w:tc>
        <w:tc>
          <w:tcPr>
            <w:tcW w:w="6822" w:type="dxa"/>
            <w:gridSpan w:val="5"/>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必修学分</w:t>
            </w:r>
          </w:p>
        </w:tc>
        <w:tc>
          <w:tcPr>
            <w:tcW w:w="6950" w:type="dxa"/>
            <w:gridSpan w:val="8"/>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选修学分</w:t>
            </w:r>
          </w:p>
        </w:tc>
        <w:tc>
          <w:tcPr>
            <w:tcW w:w="1365" w:type="dxa"/>
            <w:vMerge w:val="restart"/>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至少应修读总学</w:t>
            </w:r>
          </w:p>
          <w:p>
            <w:pPr>
              <w:wordWrap w:val="0"/>
              <w:autoSpaceDE w:val="0"/>
              <w:autoSpaceDN w:val="0"/>
              <w:jc w:val="center"/>
              <w:rPr>
                <w:rFonts w:ascii="Times New Roman" w:hAnsi="Times New Roman"/>
              </w:rPr>
            </w:pPr>
            <w:r>
              <w:rPr>
                <w:rFonts w:ascii="Times New Roman" w:hAnsi="Times New Roman"/>
                <w:sz w:val="18"/>
                <w:szCs w:val="28"/>
              </w:rPr>
              <w:t>分</w:t>
            </w:r>
          </w:p>
        </w:tc>
      </w:tr>
      <w:tr>
        <w:tblPrEx>
          <w:tblCellMar>
            <w:top w:w="0" w:type="dxa"/>
            <w:left w:w="108" w:type="dxa"/>
            <w:bottom w:w="0" w:type="dxa"/>
            <w:right w:w="108" w:type="dxa"/>
          </w:tblCellMar>
        </w:tblPrEx>
        <w:trPr>
          <w:trHeight w:val="324" w:hRule="exact"/>
          <w:jc w:val="center"/>
        </w:trPr>
        <w:tc>
          <w:tcPr>
            <w:tcW w:w="1100" w:type="dxa"/>
            <w:vMerge w:val="continue"/>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rPr>
                <w:rFonts w:ascii="Times New Roman" w:hAnsi="Times New Roman"/>
              </w:rPr>
            </w:pPr>
          </w:p>
        </w:tc>
        <w:tc>
          <w:tcPr>
            <w:tcW w:w="1435" w:type="dxa"/>
            <w:vMerge w:val="restart"/>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通识基础课</w:t>
            </w:r>
          </w:p>
          <w:p>
            <w:pPr>
              <w:wordWrap w:val="0"/>
              <w:autoSpaceDE w:val="0"/>
              <w:autoSpaceDN w:val="0"/>
              <w:jc w:val="center"/>
              <w:rPr>
                <w:rFonts w:ascii="Times New Roman" w:hAnsi="Times New Roman"/>
              </w:rPr>
            </w:pPr>
            <w:r>
              <w:rPr>
                <w:rFonts w:ascii="Times New Roman" w:hAnsi="Times New Roman"/>
                <w:sz w:val="18"/>
                <w:szCs w:val="28"/>
              </w:rPr>
              <w:t>程(TB)</w:t>
            </w:r>
          </w:p>
        </w:tc>
        <w:tc>
          <w:tcPr>
            <w:tcW w:w="1276" w:type="dxa"/>
            <w:vMerge w:val="restart"/>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专业基础课</w:t>
            </w:r>
          </w:p>
          <w:p>
            <w:pPr>
              <w:wordWrap w:val="0"/>
              <w:autoSpaceDE w:val="0"/>
              <w:autoSpaceDN w:val="0"/>
              <w:jc w:val="center"/>
              <w:rPr>
                <w:rFonts w:ascii="Times New Roman" w:hAnsi="Times New Roman"/>
              </w:rPr>
            </w:pPr>
            <w:r>
              <w:rPr>
                <w:rFonts w:ascii="Times New Roman" w:hAnsi="Times New Roman"/>
                <w:sz w:val="18"/>
                <w:szCs w:val="28"/>
              </w:rPr>
              <w:t>程(KB)</w:t>
            </w:r>
          </w:p>
        </w:tc>
        <w:tc>
          <w:tcPr>
            <w:tcW w:w="2148" w:type="dxa"/>
            <w:gridSpan w:val="2"/>
            <w:vMerge w:val="restart"/>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专业核心课</w:t>
            </w:r>
          </w:p>
          <w:p>
            <w:pPr>
              <w:wordWrap w:val="0"/>
              <w:autoSpaceDE w:val="0"/>
              <w:autoSpaceDN w:val="0"/>
              <w:jc w:val="center"/>
              <w:rPr>
                <w:rFonts w:ascii="Times New Roman" w:hAnsi="Times New Roman"/>
              </w:rPr>
            </w:pPr>
            <w:r>
              <w:rPr>
                <w:rFonts w:ascii="Times New Roman" w:hAnsi="Times New Roman"/>
                <w:sz w:val="18"/>
                <w:szCs w:val="28"/>
              </w:rPr>
              <w:t>程(ZB)</w:t>
            </w:r>
          </w:p>
        </w:tc>
        <w:tc>
          <w:tcPr>
            <w:tcW w:w="1963" w:type="dxa"/>
            <w:vMerge w:val="restart"/>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实践教学课程(SB)</w:t>
            </w:r>
          </w:p>
        </w:tc>
        <w:tc>
          <w:tcPr>
            <w:tcW w:w="3852" w:type="dxa"/>
            <w:gridSpan w:val="5"/>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通识选修课程（选修）</w:t>
            </w:r>
          </w:p>
        </w:tc>
        <w:tc>
          <w:tcPr>
            <w:tcW w:w="3098" w:type="dxa"/>
            <w:gridSpan w:val="3"/>
            <w:vMerge w:val="restart"/>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专业拓展</w:t>
            </w:r>
          </w:p>
          <w:p>
            <w:pPr>
              <w:wordWrap w:val="0"/>
              <w:autoSpaceDE w:val="0"/>
              <w:autoSpaceDN w:val="0"/>
              <w:jc w:val="center"/>
              <w:rPr>
                <w:rFonts w:ascii="Times New Roman" w:hAnsi="Times New Roman"/>
              </w:rPr>
            </w:pPr>
            <w:r>
              <w:rPr>
                <w:rFonts w:ascii="Times New Roman" w:hAnsi="Times New Roman"/>
                <w:sz w:val="18"/>
                <w:szCs w:val="28"/>
              </w:rPr>
              <w:t>课程</w:t>
            </w:r>
          </w:p>
          <w:p>
            <w:pPr>
              <w:wordWrap w:val="0"/>
              <w:autoSpaceDE w:val="0"/>
              <w:autoSpaceDN w:val="0"/>
              <w:jc w:val="center"/>
              <w:rPr>
                <w:rFonts w:ascii="Times New Roman" w:hAnsi="Times New Roman"/>
              </w:rPr>
            </w:pPr>
            <w:r>
              <w:rPr>
                <w:rFonts w:ascii="Times New Roman" w:hAnsi="Times New Roman"/>
                <w:sz w:val="18"/>
                <w:szCs w:val="28"/>
              </w:rPr>
              <w:t>(ZX)</w:t>
            </w:r>
          </w:p>
        </w:tc>
        <w:tc>
          <w:tcPr>
            <w:tcW w:w="1365" w:type="dxa"/>
            <w:vMerge w:val="continue"/>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rPr>
                <w:rFonts w:ascii="Times New Roman" w:hAnsi="Times New Roman"/>
              </w:rPr>
            </w:pPr>
          </w:p>
        </w:tc>
      </w:tr>
      <w:tr>
        <w:tblPrEx>
          <w:tblCellMar>
            <w:top w:w="0" w:type="dxa"/>
            <w:left w:w="108" w:type="dxa"/>
            <w:bottom w:w="0" w:type="dxa"/>
            <w:right w:w="108" w:type="dxa"/>
          </w:tblCellMar>
        </w:tblPrEx>
        <w:trPr>
          <w:trHeight w:val="1040" w:hRule="exact"/>
          <w:jc w:val="center"/>
        </w:trPr>
        <w:tc>
          <w:tcPr>
            <w:tcW w:w="1100" w:type="dxa"/>
            <w:vMerge w:val="continue"/>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rPr>
                <w:rFonts w:ascii="Times New Roman" w:hAnsi="Times New Roman"/>
              </w:rPr>
            </w:pPr>
          </w:p>
        </w:tc>
        <w:tc>
          <w:tcPr>
            <w:tcW w:w="1435" w:type="dxa"/>
            <w:vMerge w:val="continue"/>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rPr>
                <w:rFonts w:ascii="Times New Roman" w:hAnsi="Times New Roman"/>
              </w:rPr>
            </w:pPr>
          </w:p>
        </w:tc>
        <w:tc>
          <w:tcPr>
            <w:tcW w:w="1276" w:type="dxa"/>
            <w:vMerge w:val="continue"/>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rPr>
                <w:rFonts w:ascii="Times New Roman" w:hAnsi="Times New Roman"/>
              </w:rPr>
            </w:pPr>
          </w:p>
        </w:tc>
        <w:tc>
          <w:tcPr>
            <w:tcW w:w="2148" w:type="dxa"/>
            <w:gridSpan w:val="2"/>
            <w:vMerge w:val="continue"/>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rPr>
                <w:rFonts w:ascii="Times New Roman" w:hAnsi="Times New Roman"/>
              </w:rPr>
            </w:pPr>
          </w:p>
        </w:tc>
        <w:tc>
          <w:tcPr>
            <w:tcW w:w="1963" w:type="dxa"/>
            <w:vMerge w:val="continue"/>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rPr>
                <w:rFonts w:ascii="Times New Roman" w:hAnsi="Times New Roman"/>
              </w:rPr>
            </w:pP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人文社</w:t>
            </w:r>
          </w:p>
          <w:p>
            <w:pPr>
              <w:wordWrap w:val="0"/>
              <w:autoSpaceDE w:val="0"/>
              <w:autoSpaceDN w:val="0"/>
              <w:jc w:val="center"/>
              <w:rPr>
                <w:rFonts w:ascii="Times New Roman" w:hAnsi="Times New Roman"/>
              </w:rPr>
            </w:pPr>
            <w:r>
              <w:rPr>
                <w:rFonts w:ascii="Times New Roman" w:hAnsi="Times New Roman"/>
                <w:sz w:val="18"/>
                <w:szCs w:val="28"/>
              </w:rPr>
              <w:t>科</w:t>
            </w:r>
          </w:p>
          <w:p>
            <w:pPr>
              <w:wordWrap w:val="0"/>
              <w:autoSpaceDE w:val="0"/>
              <w:autoSpaceDN w:val="0"/>
              <w:jc w:val="center"/>
              <w:rPr>
                <w:rFonts w:ascii="Times New Roman" w:hAnsi="Times New Roman"/>
              </w:rPr>
            </w:pPr>
            <w:r>
              <w:rPr>
                <w:rFonts w:ascii="Times New Roman" w:hAnsi="Times New Roman"/>
                <w:sz w:val="18"/>
                <w:szCs w:val="28"/>
              </w:rPr>
              <w:t>（TW）</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自然科</w:t>
            </w:r>
          </w:p>
          <w:p>
            <w:pPr>
              <w:wordWrap w:val="0"/>
              <w:autoSpaceDE w:val="0"/>
              <w:autoSpaceDN w:val="0"/>
              <w:jc w:val="center"/>
              <w:rPr>
                <w:rFonts w:ascii="Times New Roman" w:hAnsi="Times New Roman"/>
              </w:rPr>
            </w:pPr>
            <w:r>
              <w:rPr>
                <w:rFonts w:ascii="Times New Roman" w:hAnsi="Times New Roman"/>
                <w:sz w:val="18"/>
                <w:szCs w:val="28"/>
              </w:rPr>
              <w:t>学</w:t>
            </w:r>
          </w:p>
          <w:p>
            <w:pPr>
              <w:wordWrap w:val="0"/>
              <w:autoSpaceDE w:val="0"/>
              <w:autoSpaceDN w:val="0"/>
              <w:jc w:val="center"/>
              <w:rPr>
                <w:rFonts w:ascii="Times New Roman" w:hAnsi="Times New Roman"/>
              </w:rPr>
            </w:pPr>
            <w:r>
              <w:rPr>
                <w:rFonts w:ascii="Times New Roman" w:hAnsi="Times New Roman"/>
                <w:sz w:val="18"/>
                <w:szCs w:val="28"/>
              </w:rPr>
              <w:t>(TI)</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公共艺术</w:t>
            </w:r>
          </w:p>
          <w:p>
            <w:pPr>
              <w:wordWrap w:val="0"/>
              <w:autoSpaceDE w:val="0"/>
              <w:autoSpaceDN w:val="0"/>
              <w:jc w:val="center"/>
              <w:rPr>
                <w:rFonts w:ascii="Times New Roman" w:hAnsi="Times New Roman"/>
              </w:rPr>
            </w:pPr>
            <w:r>
              <w:rPr>
                <w:rFonts w:ascii="Times New Roman" w:hAnsi="Times New Roman"/>
                <w:sz w:val="18"/>
                <w:szCs w:val="28"/>
              </w:rPr>
              <w:t>(TY)</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四史教育</w:t>
            </w:r>
          </w:p>
          <w:p>
            <w:pPr>
              <w:wordWrap w:val="0"/>
              <w:autoSpaceDE w:val="0"/>
              <w:autoSpaceDN w:val="0"/>
              <w:jc w:val="center"/>
              <w:rPr>
                <w:rFonts w:ascii="Times New Roman" w:hAnsi="Times New Roman"/>
              </w:rPr>
            </w:pPr>
            <w:r>
              <w:rPr>
                <w:rFonts w:ascii="Times New Roman" w:hAnsi="Times New Roman"/>
                <w:sz w:val="18"/>
                <w:szCs w:val="28"/>
              </w:rPr>
              <w:t>（TH）</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通识讲座</w:t>
            </w:r>
          </w:p>
          <w:p>
            <w:pPr>
              <w:wordWrap w:val="0"/>
              <w:autoSpaceDE w:val="0"/>
              <w:autoSpaceDN w:val="0"/>
              <w:jc w:val="center"/>
              <w:rPr>
                <w:rFonts w:ascii="Times New Roman" w:hAnsi="Times New Roman"/>
              </w:rPr>
            </w:pPr>
            <w:r>
              <w:rPr>
                <w:rFonts w:ascii="Times New Roman" w:hAnsi="Times New Roman"/>
                <w:sz w:val="18"/>
                <w:szCs w:val="28"/>
              </w:rPr>
              <w:t>(TQ)</w:t>
            </w:r>
          </w:p>
        </w:tc>
        <w:tc>
          <w:tcPr>
            <w:tcW w:w="3098" w:type="dxa"/>
            <w:gridSpan w:val="3"/>
            <w:vMerge w:val="continue"/>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rPr>
                <w:rFonts w:ascii="Times New Roman" w:hAnsi="Times New Roman"/>
              </w:rPr>
            </w:pPr>
          </w:p>
        </w:tc>
        <w:tc>
          <w:tcPr>
            <w:tcW w:w="1365" w:type="dxa"/>
            <w:vMerge w:val="continue"/>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rPr>
                <w:rFonts w:ascii="Times New Roman" w:hAnsi="Times New Roman"/>
              </w:rPr>
            </w:pPr>
          </w:p>
        </w:tc>
      </w:tr>
      <w:tr>
        <w:tblPrEx>
          <w:tblCellMar>
            <w:top w:w="0" w:type="dxa"/>
            <w:left w:w="108" w:type="dxa"/>
            <w:bottom w:w="0" w:type="dxa"/>
            <w:right w:w="108" w:type="dxa"/>
          </w:tblCellMar>
        </w:tblPrEx>
        <w:trPr>
          <w:trHeight w:val="314" w:hRule="exact"/>
          <w:jc w:val="center"/>
        </w:trPr>
        <w:tc>
          <w:tcPr>
            <w:tcW w:w="1100" w:type="dxa"/>
            <w:vMerge w:val="restart"/>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r>
              <w:rPr>
                <w:rFonts w:ascii="Times New Roman" w:hAnsi="Times New Roman"/>
                <w:sz w:val="18"/>
                <w:szCs w:val="28"/>
              </w:rPr>
              <w:t xml:space="preserve"> 至少应修读</w:t>
            </w:r>
          </w:p>
          <w:p>
            <w:pPr>
              <w:wordWrap w:val="0"/>
              <w:autoSpaceDE w:val="0"/>
              <w:autoSpaceDN w:val="0"/>
              <w:jc w:val="center"/>
              <w:rPr>
                <w:rFonts w:ascii="Times New Roman" w:hAnsi="Times New Roman"/>
              </w:rPr>
            </w:pPr>
            <w:r>
              <w:rPr>
                <w:rFonts w:ascii="Times New Roman" w:hAnsi="Times New Roman"/>
                <w:sz w:val="18"/>
                <w:szCs w:val="28"/>
              </w:rPr>
              <w:t>学分数</w:t>
            </w:r>
          </w:p>
        </w:tc>
        <w:tc>
          <w:tcPr>
            <w:tcW w:w="1435"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hint="eastAsia" w:ascii="Times New Roman" w:hAnsi="Times New Roman"/>
              </w:rPr>
            </w:pPr>
            <w:r>
              <w:rPr>
                <w:rFonts w:hint="eastAsia" w:ascii="Times New Roman" w:hAnsi="Times New Roman"/>
                <w:sz w:val="18"/>
                <w:szCs w:val="28"/>
              </w:rPr>
              <w:t>39</w:t>
            </w:r>
          </w:p>
        </w:tc>
        <w:tc>
          <w:tcPr>
            <w:tcW w:w="127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2</w:t>
            </w:r>
            <w:r>
              <w:rPr>
                <w:rFonts w:hint="eastAsia" w:ascii="Times New Roman" w:hAnsi="Times New Roman"/>
                <w:sz w:val="18"/>
                <w:szCs w:val="28"/>
              </w:rPr>
              <w:t>7</w:t>
            </w:r>
          </w:p>
        </w:tc>
        <w:tc>
          <w:tcPr>
            <w:tcW w:w="2148" w:type="dxa"/>
            <w:gridSpan w:val="2"/>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2</w:t>
            </w:r>
            <w:r>
              <w:rPr>
                <w:rFonts w:hint="eastAsia" w:ascii="Times New Roman" w:hAnsi="Times New Roman"/>
                <w:sz w:val="18"/>
                <w:szCs w:val="28"/>
              </w:rPr>
              <w:t>9</w:t>
            </w:r>
          </w:p>
        </w:tc>
        <w:tc>
          <w:tcPr>
            <w:tcW w:w="1963"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12</w:t>
            </w:r>
          </w:p>
        </w:tc>
        <w:tc>
          <w:tcPr>
            <w:tcW w:w="616"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1</w:t>
            </w:r>
          </w:p>
        </w:tc>
        <w:tc>
          <w:tcPr>
            <w:tcW w:w="658"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1</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2</w:t>
            </w:r>
          </w:p>
        </w:tc>
        <w:tc>
          <w:tcPr>
            <w:tcW w:w="869"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hint="eastAsia" w:ascii="Times New Roman" w:hAnsi="Times New Roman"/>
              </w:rPr>
            </w:pPr>
            <w:r>
              <w:rPr>
                <w:rFonts w:hint="eastAsia" w:ascii="Times New Roman" w:hAnsi="Times New Roman"/>
                <w:sz w:val="18"/>
                <w:szCs w:val="28"/>
              </w:rPr>
              <w:t>2</w:t>
            </w:r>
          </w:p>
        </w:tc>
        <w:tc>
          <w:tcPr>
            <w:tcW w:w="840" w:type="dxa"/>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1</w:t>
            </w:r>
          </w:p>
        </w:tc>
        <w:tc>
          <w:tcPr>
            <w:tcW w:w="3098" w:type="dxa"/>
            <w:gridSpan w:val="3"/>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hint="eastAsia" w:ascii="Times New Roman" w:hAnsi="Times New Roman"/>
              </w:rPr>
            </w:pPr>
            <w:r>
              <w:rPr>
                <w:rFonts w:ascii="Times New Roman" w:hAnsi="Times New Roman"/>
                <w:sz w:val="18"/>
                <w:szCs w:val="28"/>
              </w:rPr>
              <w:t>3</w:t>
            </w:r>
            <w:r>
              <w:rPr>
                <w:rFonts w:hint="eastAsia" w:ascii="Times New Roman" w:hAnsi="Times New Roman"/>
                <w:sz w:val="18"/>
                <w:szCs w:val="28"/>
              </w:rPr>
              <w:t>5</w:t>
            </w:r>
          </w:p>
        </w:tc>
        <w:tc>
          <w:tcPr>
            <w:tcW w:w="1365" w:type="dxa"/>
            <w:vMerge w:val="restart"/>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149</w:t>
            </w:r>
          </w:p>
        </w:tc>
      </w:tr>
      <w:tr>
        <w:tblPrEx>
          <w:tblCellMar>
            <w:top w:w="0" w:type="dxa"/>
            <w:left w:w="108" w:type="dxa"/>
            <w:bottom w:w="0" w:type="dxa"/>
            <w:right w:w="108" w:type="dxa"/>
          </w:tblCellMar>
        </w:tblPrEx>
        <w:trPr>
          <w:trHeight w:val="314" w:hRule="exact"/>
          <w:jc w:val="center"/>
        </w:trPr>
        <w:tc>
          <w:tcPr>
            <w:tcW w:w="1100" w:type="dxa"/>
            <w:vMerge w:val="continue"/>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rPr>
                <w:rFonts w:ascii="Times New Roman" w:hAnsi="Times New Roman"/>
              </w:rPr>
            </w:pPr>
          </w:p>
        </w:tc>
        <w:tc>
          <w:tcPr>
            <w:tcW w:w="6822" w:type="dxa"/>
            <w:gridSpan w:val="5"/>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ascii="Times New Roman" w:hAnsi="Times New Roman"/>
              </w:rPr>
            </w:pPr>
            <w:r>
              <w:rPr>
                <w:rFonts w:ascii="Times New Roman" w:hAnsi="Times New Roman"/>
                <w:sz w:val="18"/>
                <w:szCs w:val="28"/>
              </w:rPr>
              <w:t>10</w:t>
            </w:r>
            <w:r>
              <w:rPr>
                <w:rFonts w:hint="eastAsia" w:ascii="Times New Roman" w:hAnsi="Times New Roman"/>
                <w:sz w:val="18"/>
                <w:szCs w:val="28"/>
              </w:rPr>
              <w:t>7</w:t>
            </w:r>
            <w:r>
              <w:rPr>
                <w:rFonts w:ascii="Times New Roman" w:hAnsi="Times New Roman"/>
                <w:sz w:val="18"/>
                <w:szCs w:val="28"/>
              </w:rPr>
              <w:t>.00</w:t>
            </w:r>
          </w:p>
        </w:tc>
        <w:tc>
          <w:tcPr>
            <w:tcW w:w="6950" w:type="dxa"/>
            <w:gridSpan w:val="8"/>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jc w:val="center"/>
              <w:rPr>
                <w:rFonts w:hint="eastAsia" w:ascii="Times New Roman" w:hAnsi="Times New Roman"/>
              </w:rPr>
            </w:pPr>
            <w:r>
              <w:rPr>
                <w:rFonts w:ascii="Times New Roman" w:hAnsi="Times New Roman"/>
                <w:sz w:val="18"/>
                <w:szCs w:val="28"/>
              </w:rPr>
              <w:t>4</w:t>
            </w:r>
            <w:r>
              <w:rPr>
                <w:rFonts w:hint="eastAsia" w:ascii="Times New Roman" w:hAnsi="Times New Roman"/>
                <w:sz w:val="18"/>
                <w:szCs w:val="28"/>
              </w:rPr>
              <w:t>2</w:t>
            </w:r>
          </w:p>
        </w:tc>
        <w:tc>
          <w:tcPr>
            <w:tcW w:w="1365" w:type="dxa"/>
            <w:vMerge w:val="continue"/>
            <w:tcBorders>
              <w:top w:val="single" w:color="auto" w:sz="4" w:space="0"/>
              <w:left w:val="single" w:color="auto" w:sz="4" w:space="0"/>
              <w:bottom w:val="single" w:color="auto" w:sz="4" w:space="0"/>
              <w:right w:val="single" w:color="auto" w:sz="4" w:space="0"/>
            </w:tcBorders>
            <w:shd w:val="clear" w:color="auto" w:fill="FFFFFF"/>
            <w:tcMar>
              <w:left w:w="0" w:type="dxa"/>
              <w:right w:w="0" w:type="dxa"/>
            </w:tcMar>
            <w:vAlign w:val="center"/>
          </w:tcPr>
          <w:p>
            <w:pPr>
              <w:rPr>
                <w:rFonts w:ascii="Times New Roman" w:hAnsi="Times New Roman"/>
              </w:rPr>
            </w:pPr>
          </w:p>
        </w:tc>
      </w:tr>
      <w:tr>
        <w:tblPrEx>
          <w:tblCellMar>
            <w:top w:w="0" w:type="dxa"/>
            <w:left w:w="108" w:type="dxa"/>
            <w:bottom w:w="0" w:type="dxa"/>
            <w:right w:w="108" w:type="dxa"/>
          </w:tblCellMar>
        </w:tblPrEx>
        <w:trPr>
          <w:trHeight w:val="322" w:hRule="exact"/>
          <w:jc w:val="center"/>
        </w:trPr>
        <w:tc>
          <w:tcPr>
            <w:tcW w:w="1100" w:type="dxa"/>
            <w:tcBorders>
              <w:top w:val="single" w:color="auto" w:sz="4" w:space="0"/>
            </w:tcBorders>
            <w:shd w:val="clear" w:color="auto" w:fill="FFFFFF"/>
            <w:tcMar>
              <w:left w:w="0" w:type="dxa"/>
              <w:right w:w="0" w:type="dxa"/>
            </w:tcMar>
            <w:vAlign w:val="center"/>
          </w:tcPr>
          <w:p>
            <w:pPr>
              <w:wordWrap w:val="0"/>
              <w:autoSpaceDE w:val="0"/>
              <w:autoSpaceDN w:val="0"/>
              <w:jc w:val="center"/>
              <w:rPr>
                <w:rFonts w:ascii="Times New Roman" w:hAnsi="Times New Roman"/>
              </w:rPr>
            </w:pPr>
          </w:p>
        </w:tc>
        <w:tc>
          <w:tcPr>
            <w:tcW w:w="1435" w:type="dxa"/>
            <w:tcBorders>
              <w:top w:val="single" w:color="auto" w:sz="4" w:space="0"/>
            </w:tcBorders>
            <w:shd w:val="clear" w:color="auto" w:fill="FFFFFF"/>
            <w:tcMar>
              <w:left w:w="0" w:type="dxa"/>
              <w:right w:w="0" w:type="dxa"/>
            </w:tcMar>
            <w:vAlign w:val="center"/>
          </w:tcPr>
          <w:p>
            <w:pPr>
              <w:wordWrap w:val="0"/>
              <w:autoSpaceDE w:val="0"/>
              <w:autoSpaceDN w:val="0"/>
              <w:jc w:val="left"/>
              <w:rPr>
                <w:rFonts w:ascii="Times New Roman" w:hAnsi="Times New Roman"/>
              </w:rPr>
            </w:pPr>
          </w:p>
        </w:tc>
        <w:tc>
          <w:tcPr>
            <w:tcW w:w="1276" w:type="dxa"/>
            <w:tcBorders>
              <w:top w:val="single" w:color="auto" w:sz="4" w:space="0"/>
            </w:tcBorders>
            <w:shd w:val="clear" w:color="auto" w:fill="FFFFFF"/>
            <w:tcMar>
              <w:left w:w="0" w:type="dxa"/>
              <w:right w:w="0" w:type="dxa"/>
            </w:tcMar>
            <w:vAlign w:val="center"/>
          </w:tcPr>
          <w:p>
            <w:pPr>
              <w:wordWrap w:val="0"/>
              <w:autoSpaceDE w:val="0"/>
              <w:autoSpaceDN w:val="0"/>
              <w:jc w:val="left"/>
              <w:rPr>
                <w:rFonts w:ascii="Times New Roman" w:hAnsi="Times New Roman"/>
              </w:rPr>
            </w:pPr>
          </w:p>
        </w:tc>
        <w:tc>
          <w:tcPr>
            <w:tcW w:w="377" w:type="dxa"/>
            <w:tcBorders>
              <w:top w:val="single" w:color="auto" w:sz="4" w:space="0"/>
            </w:tcBorders>
            <w:shd w:val="clear" w:color="auto" w:fill="FFFFFF"/>
            <w:tcMar>
              <w:left w:w="0" w:type="dxa"/>
              <w:right w:w="0" w:type="dxa"/>
            </w:tcMar>
            <w:vAlign w:val="center"/>
          </w:tcPr>
          <w:p>
            <w:pPr>
              <w:wordWrap w:val="0"/>
              <w:autoSpaceDE w:val="0"/>
              <w:autoSpaceDN w:val="0"/>
              <w:jc w:val="left"/>
              <w:rPr>
                <w:rFonts w:ascii="Times New Roman" w:hAnsi="Times New Roman"/>
              </w:rPr>
            </w:pPr>
          </w:p>
        </w:tc>
        <w:tc>
          <w:tcPr>
            <w:tcW w:w="1771" w:type="dxa"/>
            <w:tcBorders>
              <w:top w:val="single" w:color="auto" w:sz="4" w:space="0"/>
            </w:tcBorders>
            <w:shd w:val="clear" w:color="auto" w:fill="FFFFFF"/>
            <w:tcMar>
              <w:left w:w="0" w:type="dxa"/>
              <w:right w:w="0" w:type="dxa"/>
            </w:tcMar>
            <w:vAlign w:val="center"/>
          </w:tcPr>
          <w:p>
            <w:pPr>
              <w:wordWrap w:val="0"/>
              <w:autoSpaceDE w:val="0"/>
              <w:autoSpaceDN w:val="0"/>
              <w:jc w:val="left"/>
              <w:rPr>
                <w:rFonts w:ascii="Times New Roman" w:hAnsi="Times New Roman"/>
              </w:rPr>
            </w:pPr>
          </w:p>
        </w:tc>
        <w:tc>
          <w:tcPr>
            <w:tcW w:w="1963" w:type="dxa"/>
            <w:tcBorders>
              <w:top w:val="single" w:color="auto" w:sz="4" w:space="0"/>
            </w:tcBorders>
            <w:shd w:val="clear" w:color="auto" w:fill="FFFFFF"/>
            <w:tcMar>
              <w:left w:w="0" w:type="dxa"/>
              <w:right w:w="0" w:type="dxa"/>
            </w:tcMar>
            <w:vAlign w:val="center"/>
          </w:tcPr>
          <w:p>
            <w:pPr>
              <w:wordWrap w:val="0"/>
              <w:autoSpaceDE w:val="0"/>
              <w:autoSpaceDN w:val="0"/>
              <w:jc w:val="left"/>
              <w:rPr>
                <w:rFonts w:ascii="Times New Roman" w:hAnsi="Times New Roman"/>
              </w:rPr>
            </w:pPr>
          </w:p>
        </w:tc>
        <w:tc>
          <w:tcPr>
            <w:tcW w:w="616" w:type="dxa"/>
            <w:tcBorders>
              <w:top w:val="single" w:color="auto" w:sz="4" w:space="0"/>
            </w:tcBorders>
            <w:shd w:val="clear" w:color="auto" w:fill="FFFFFF"/>
            <w:tcMar>
              <w:left w:w="0" w:type="dxa"/>
              <w:right w:w="0" w:type="dxa"/>
            </w:tcMar>
            <w:vAlign w:val="center"/>
          </w:tcPr>
          <w:p>
            <w:pPr>
              <w:wordWrap w:val="0"/>
              <w:autoSpaceDE w:val="0"/>
              <w:autoSpaceDN w:val="0"/>
              <w:jc w:val="left"/>
              <w:rPr>
                <w:rFonts w:ascii="Times New Roman" w:hAnsi="Times New Roman"/>
              </w:rPr>
            </w:pPr>
          </w:p>
        </w:tc>
        <w:tc>
          <w:tcPr>
            <w:tcW w:w="658" w:type="dxa"/>
            <w:tcBorders>
              <w:top w:val="single" w:color="auto" w:sz="4" w:space="0"/>
            </w:tcBorders>
            <w:shd w:val="clear" w:color="auto" w:fill="FFFFFF"/>
            <w:tcMar>
              <w:left w:w="0" w:type="dxa"/>
              <w:right w:w="0" w:type="dxa"/>
            </w:tcMar>
            <w:vAlign w:val="center"/>
          </w:tcPr>
          <w:p>
            <w:pPr>
              <w:wordWrap w:val="0"/>
              <w:autoSpaceDE w:val="0"/>
              <w:autoSpaceDN w:val="0"/>
              <w:jc w:val="left"/>
              <w:rPr>
                <w:rFonts w:ascii="Times New Roman" w:hAnsi="Times New Roman"/>
              </w:rPr>
            </w:pPr>
          </w:p>
        </w:tc>
        <w:tc>
          <w:tcPr>
            <w:tcW w:w="869" w:type="dxa"/>
            <w:tcBorders>
              <w:top w:val="single" w:color="auto" w:sz="4" w:space="0"/>
            </w:tcBorders>
            <w:shd w:val="clear" w:color="auto" w:fill="FFFFFF"/>
            <w:tcMar>
              <w:left w:w="0" w:type="dxa"/>
              <w:right w:w="0" w:type="dxa"/>
            </w:tcMar>
            <w:vAlign w:val="center"/>
          </w:tcPr>
          <w:p>
            <w:pPr>
              <w:wordWrap w:val="0"/>
              <w:autoSpaceDE w:val="0"/>
              <w:autoSpaceDN w:val="0"/>
              <w:jc w:val="left"/>
              <w:rPr>
                <w:rFonts w:ascii="Times New Roman" w:hAnsi="Times New Roman"/>
              </w:rPr>
            </w:pPr>
          </w:p>
        </w:tc>
        <w:tc>
          <w:tcPr>
            <w:tcW w:w="869" w:type="dxa"/>
            <w:tcBorders>
              <w:top w:val="single" w:color="auto" w:sz="4" w:space="0"/>
            </w:tcBorders>
            <w:shd w:val="clear" w:color="auto" w:fill="FFFFFF"/>
            <w:tcMar>
              <w:left w:w="0" w:type="dxa"/>
              <w:right w:w="0" w:type="dxa"/>
            </w:tcMar>
            <w:vAlign w:val="center"/>
          </w:tcPr>
          <w:p>
            <w:pPr>
              <w:wordWrap w:val="0"/>
              <w:autoSpaceDE w:val="0"/>
              <w:autoSpaceDN w:val="0"/>
              <w:jc w:val="left"/>
              <w:rPr>
                <w:rFonts w:ascii="Times New Roman" w:hAnsi="Times New Roman"/>
              </w:rPr>
            </w:pPr>
          </w:p>
        </w:tc>
        <w:tc>
          <w:tcPr>
            <w:tcW w:w="840" w:type="dxa"/>
            <w:tcBorders>
              <w:top w:val="single" w:color="auto" w:sz="4" w:space="0"/>
            </w:tcBorders>
            <w:shd w:val="clear" w:color="auto" w:fill="FFFFFF"/>
            <w:tcMar>
              <w:left w:w="0" w:type="dxa"/>
              <w:right w:w="0" w:type="dxa"/>
            </w:tcMar>
            <w:vAlign w:val="center"/>
          </w:tcPr>
          <w:p>
            <w:pPr>
              <w:wordWrap w:val="0"/>
              <w:autoSpaceDE w:val="0"/>
              <w:autoSpaceDN w:val="0"/>
              <w:jc w:val="left"/>
              <w:rPr>
                <w:rFonts w:ascii="Times New Roman" w:hAnsi="Times New Roman"/>
              </w:rPr>
            </w:pPr>
          </w:p>
        </w:tc>
        <w:tc>
          <w:tcPr>
            <w:tcW w:w="849" w:type="dxa"/>
            <w:tcBorders>
              <w:top w:val="single" w:color="auto" w:sz="4" w:space="0"/>
            </w:tcBorders>
            <w:shd w:val="clear" w:color="auto" w:fill="FFFFFF"/>
            <w:tcMar>
              <w:left w:w="0" w:type="dxa"/>
              <w:right w:w="0" w:type="dxa"/>
            </w:tcMar>
            <w:vAlign w:val="center"/>
          </w:tcPr>
          <w:p>
            <w:pPr>
              <w:wordWrap w:val="0"/>
              <w:autoSpaceDE w:val="0"/>
              <w:autoSpaceDN w:val="0"/>
              <w:jc w:val="left"/>
              <w:rPr>
                <w:rFonts w:ascii="Times New Roman" w:hAnsi="Times New Roman"/>
              </w:rPr>
            </w:pPr>
          </w:p>
        </w:tc>
        <w:tc>
          <w:tcPr>
            <w:tcW w:w="959" w:type="dxa"/>
            <w:tcBorders>
              <w:top w:val="single" w:color="auto" w:sz="4" w:space="0"/>
            </w:tcBorders>
            <w:shd w:val="clear" w:color="auto" w:fill="FFFFFF"/>
            <w:tcMar>
              <w:left w:w="0" w:type="dxa"/>
              <w:right w:w="0" w:type="dxa"/>
            </w:tcMar>
            <w:vAlign w:val="center"/>
          </w:tcPr>
          <w:p>
            <w:pPr>
              <w:wordWrap w:val="0"/>
              <w:autoSpaceDE w:val="0"/>
              <w:autoSpaceDN w:val="0"/>
              <w:jc w:val="left"/>
              <w:rPr>
                <w:rFonts w:ascii="Times New Roman" w:hAnsi="Times New Roman"/>
              </w:rPr>
            </w:pPr>
          </w:p>
        </w:tc>
        <w:tc>
          <w:tcPr>
            <w:tcW w:w="1290" w:type="dxa"/>
            <w:tcBorders>
              <w:top w:val="single" w:color="auto" w:sz="4" w:space="0"/>
            </w:tcBorders>
            <w:shd w:val="clear" w:color="auto" w:fill="FFFFFF"/>
            <w:tcMar>
              <w:left w:w="0" w:type="dxa"/>
              <w:right w:w="0" w:type="dxa"/>
            </w:tcMar>
            <w:vAlign w:val="center"/>
          </w:tcPr>
          <w:p>
            <w:pPr>
              <w:wordWrap w:val="0"/>
              <w:autoSpaceDE w:val="0"/>
              <w:autoSpaceDN w:val="0"/>
              <w:jc w:val="left"/>
              <w:rPr>
                <w:rFonts w:ascii="Times New Roman" w:hAnsi="Times New Roman"/>
              </w:rPr>
            </w:pPr>
          </w:p>
        </w:tc>
        <w:tc>
          <w:tcPr>
            <w:tcW w:w="1365" w:type="dxa"/>
            <w:tcBorders>
              <w:top w:val="single" w:color="auto" w:sz="4" w:space="0"/>
            </w:tcBorders>
            <w:shd w:val="clear" w:color="auto" w:fill="FFFFFF"/>
            <w:tcMar>
              <w:left w:w="0" w:type="dxa"/>
              <w:right w:w="0" w:type="dxa"/>
            </w:tcMar>
            <w:vAlign w:val="center"/>
          </w:tcPr>
          <w:p>
            <w:pPr>
              <w:wordWrap w:val="0"/>
              <w:autoSpaceDE w:val="0"/>
              <w:autoSpaceDN w:val="0"/>
              <w:jc w:val="left"/>
              <w:rPr>
                <w:rFonts w:ascii="Times New Roman" w:hAnsi="Times New Roman"/>
              </w:rPr>
            </w:pPr>
          </w:p>
        </w:tc>
      </w:tr>
    </w:tbl>
    <w:p>
      <w:pPr>
        <w:autoSpaceDE w:val="0"/>
        <w:autoSpaceDN w:val="0"/>
        <w:adjustRightInd w:val="0"/>
        <w:jc w:val="left"/>
        <w:rPr>
          <w:rFonts w:ascii="Times New Roman" w:hAnsi="Times New Roman"/>
          <w:b/>
          <w:bCs/>
          <w:kern w:val="0"/>
          <w:sz w:val="18"/>
          <w:szCs w:val="18"/>
          <w:lang w:bidi="ar"/>
        </w:rPr>
      </w:pPr>
    </w:p>
    <w:p>
      <w:pPr>
        <w:autoSpaceDE w:val="0"/>
        <w:autoSpaceDN w:val="0"/>
        <w:adjustRightInd w:val="0"/>
        <w:jc w:val="left"/>
        <w:rPr>
          <w:rFonts w:ascii="Times New Roman" w:hAnsi="Times New Roman"/>
          <w:b/>
          <w:bCs/>
          <w:kern w:val="0"/>
          <w:sz w:val="24"/>
          <w:lang w:bidi="ar"/>
        </w:rPr>
      </w:pPr>
      <w:r>
        <w:rPr>
          <w:rFonts w:hint="eastAsia" w:ascii="Times New Roman" w:hAnsi="Times New Roman"/>
          <w:b/>
          <w:bCs/>
          <w:kern w:val="0"/>
          <w:sz w:val="24"/>
          <w:lang w:bidi="ar"/>
        </w:rPr>
        <w:t>五、第二课堂成绩单</w:t>
      </w:r>
    </w:p>
    <w:tbl>
      <w:tblPr>
        <w:tblStyle w:val="40"/>
        <w:tblpPr w:leftFromText="180" w:rightFromText="180" w:vertAnchor="text" w:horzAnchor="page" w:tblpX="1311" w:tblpY="502"/>
        <w:tblOverlap w:val="never"/>
        <w:tblW w:w="484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6"/>
        <w:gridCol w:w="3180"/>
        <w:gridCol w:w="2923"/>
        <w:gridCol w:w="2851"/>
        <w:gridCol w:w="3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802" w:type="pct"/>
            <w:vAlign w:val="center"/>
          </w:tcPr>
          <w:p>
            <w:pPr>
              <w:snapToGrid w:val="0"/>
              <w:jc w:val="center"/>
              <w:rPr>
                <w:rFonts w:ascii="Times New Roman" w:hAnsi="Times New Roman"/>
                <w:kern w:val="0"/>
                <w:szCs w:val="21"/>
              </w:rPr>
            </w:pPr>
            <w:r>
              <w:rPr>
                <w:rFonts w:ascii="Times New Roman" w:hAnsi="Times New Roman"/>
                <w:kern w:val="0"/>
                <w:szCs w:val="21"/>
              </w:rPr>
              <w:t>模块</w:t>
            </w:r>
          </w:p>
        </w:tc>
        <w:tc>
          <w:tcPr>
            <w:tcW w:w="1111" w:type="pct"/>
            <w:vAlign w:val="center"/>
          </w:tcPr>
          <w:p>
            <w:pPr>
              <w:snapToGrid w:val="0"/>
              <w:jc w:val="center"/>
              <w:rPr>
                <w:rFonts w:ascii="Times New Roman" w:hAnsi="Times New Roman"/>
                <w:kern w:val="0"/>
                <w:szCs w:val="21"/>
              </w:rPr>
            </w:pPr>
            <w:r>
              <w:rPr>
                <w:rFonts w:ascii="Times New Roman" w:hAnsi="Times New Roman"/>
                <w:kern w:val="0"/>
                <w:szCs w:val="21"/>
              </w:rPr>
              <w:t>第一学年应修读最低学分</w:t>
            </w:r>
          </w:p>
        </w:tc>
        <w:tc>
          <w:tcPr>
            <w:tcW w:w="1021" w:type="pct"/>
            <w:vAlign w:val="center"/>
          </w:tcPr>
          <w:p>
            <w:pPr>
              <w:snapToGrid w:val="0"/>
              <w:jc w:val="center"/>
              <w:rPr>
                <w:rFonts w:ascii="Times New Roman" w:hAnsi="Times New Roman"/>
                <w:kern w:val="0"/>
                <w:szCs w:val="21"/>
              </w:rPr>
            </w:pPr>
            <w:r>
              <w:rPr>
                <w:rFonts w:ascii="Times New Roman" w:hAnsi="Times New Roman"/>
                <w:kern w:val="0"/>
                <w:szCs w:val="21"/>
              </w:rPr>
              <w:t>第二学年应修读最低学分</w:t>
            </w:r>
          </w:p>
        </w:tc>
        <w:tc>
          <w:tcPr>
            <w:tcW w:w="996" w:type="pct"/>
            <w:vAlign w:val="center"/>
          </w:tcPr>
          <w:p>
            <w:pPr>
              <w:snapToGrid w:val="0"/>
              <w:jc w:val="center"/>
              <w:rPr>
                <w:rFonts w:ascii="Times New Roman" w:hAnsi="Times New Roman"/>
                <w:kern w:val="0"/>
                <w:szCs w:val="21"/>
              </w:rPr>
            </w:pPr>
            <w:r>
              <w:rPr>
                <w:rFonts w:ascii="Times New Roman" w:hAnsi="Times New Roman"/>
                <w:kern w:val="0"/>
                <w:szCs w:val="21"/>
              </w:rPr>
              <w:t>第三学年应修读最低学分</w:t>
            </w:r>
          </w:p>
        </w:tc>
        <w:tc>
          <w:tcPr>
            <w:tcW w:w="1069" w:type="pct"/>
            <w:vAlign w:val="center"/>
          </w:tcPr>
          <w:p>
            <w:pPr>
              <w:snapToGrid w:val="0"/>
              <w:jc w:val="center"/>
              <w:rPr>
                <w:rFonts w:ascii="Times New Roman" w:hAnsi="Times New Roman"/>
                <w:kern w:val="0"/>
                <w:szCs w:val="21"/>
              </w:rPr>
            </w:pPr>
            <w:r>
              <w:rPr>
                <w:rFonts w:ascii="Times New Roman" w:hAnsi="Times New Roman"/>
                <w:kern w:val="0"/>
                <w:szCs w:val="21"/>
              </w:rPr>
              <w:t>第四学年应修读最低学分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2" w:type="pct"/>
            <w:vAlign w:val="center"/>
          </w:tcPr>
          <w:p>
            <w:pPr>
              <w:snapToGrid w:val="0"/>
              <w:jc w:val="center"/>
              <w:rPr>
                <w:rFonts w:ascii="Times New Roman" w:hAnsi="Times New Roman"/>
                <w:kern w:val="0"/>
                <w:szCs w:val="21"/>
              </w:rPr>
            </w:pPr>
            <w:r>
              <w:rPr>
                <w:rFonts w:ascii="Times New Roman" w:hAnsi="Times New Roman"/>
                <w:kern w:val="0"/>
                <w:szCs w:val="21"/>
              </w:rPr>
              <w:t>思想成长</w:t>
            </w:r>
          </w:p>
        </w:tc>
        <w:tc>
          <w:tcPr>
            <w:tcW w:w="1111" w:type="pct"/>
            <w:vAlign w:val="center"/>
          </w:tcPr>
          <w:p>
            <w:pPr>
              <w:snapToGrid w:val="0"/>
              <w:jc w:val="center"/>
              <w:rPr>
                <w:rFonts w:ascii="Times New Roman" w:hAnsi="Times New Roman"/>
                <w:kern w:val="0"/>
                <w:szCs w:val="21"/>
              </w:rPr>
            </w:pPr>
            <w:r>
              <w:rPr>
                <w:rFonts w:ascii="Times New Roman" w:hAnsi="Times New Roman"/>
                <w:kern w:val="0"/>
                <w:szCs w:val="21"/>
              </w:rPr>
              <w:t>1</w:t>
            </w:r>
          </w:p>
        </w:tc>
        <w:tc>
          <w:tcPr>
            <w:tcW w:w="1021" w:type="pct"/>
            <w:vAlign w:val="center"/>
          </w:tcPr>
          <w:p>
            <w:pPr>
              <w:snapToGrid w:val="0"/>
              <w:jc w:val="center"/>
              <w:rPr>
                <w:rFonts w:ascii="Times New Roman" w:hAnsi="Times New Roman"/>
                <w:kern w:val="0"/>
                <w:szCs w:val="21"/>
              </w:rPr>
            </w:pPr>
            <w:r>
              <w:rPr>
                <w:rFonts w:ascii="Times New Roman" w:hAnsi="Times New Roman"/>
                <w:kern w:val="0"/>
                <w:szCs w:val="21"/>
              </w:rPr>
              <w:t>1</w:t>
            </w:r>
          </w:p>
        </w:tc>
        <w:tc>
          <w:tcPr>
            <w:tcW w:w="2065" w:type="pct"/>
            <w:gridSpan w:val="2"/>
            <w:vAlign w:val="center"/>
          </w:tcPr>
          <w:p>
            <w:pPr>
              <w:snapToGrid w:val="0"/>
              <w:jc w:val="center"/>
              <w:rPr>
                <w:rFonts w:ascii="Times New Roman" w:hAnsi="Times New Roman"/>
                <w:kern w:val="0"/>
                <w:szCs w:val="21"/>
              </w:rPr>
            </w:pPr>
            <w:r>
              <w:rPr>
                <w:rFonts w:ascii="Times New Roman" w:hAnsi="Times New Roman"/>
                <w:kern w:val="0"/>
                <w:szCs w:val="21"/>
              </w:rPr>
              <w:t>第三、四学年为提升和补充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2" w:type="pct"/>
            <w:vAlign w:val="center"/>
          </w:tcPr>
          <w:p>
            <w:pPr>
              <w:snapToGrid w:val="0"/>
              <w:jc w:val="center"/>
              <w:rPr>
                <w:rFonts w:ascii="Times New Roman" w:hAnsi="Times New Roman"/>
                <w:kern w:val="0"/>
                <w:szCs w:val="21"/>
              </w:rPr>
            </w:pPr>
            <w:r>
              <w:rPr>
                <w:rFonts w:ascii="Times New Roman" w:hAnsi="Times New Roman"/>
                <w:kern w:val="0"/>
                <w:szCs w:val="21"/>
              </w:rPr>
              <w:t>实践锻炼与志愿服务</w:t>
            </w:r>
          </w:p>
        </w:tc>
        <w:tc>
          <w:tcPr>
            <w:tcW w:w="1111" w:type="pct"/>
            <w:vAlign w:val="center"/>
          </w:tcPr>
          <w:p>
            <w:pPr>
              <w:snapToGrid w:val="0"/>
              <w:jc w:val="center"/>
              <w:rPr>
                <w:rFonts w:ascii="Times New Roman" w:hAnsi="Times New Roman"/>
                <w:kern w:val="0"/>
                <w:szCs w:val="21"/>
              </w:rPr>
            </w:pPr>
            <w:r>
              <w:rPr>
                <w:rFonts w:ascii="Times New Roman" w:hAnsi="Times New Roman"/>
                <w:kern w:val="0"/>
                <w:szCs w:val="21"/>
              </w:rPr>
              <w:t>1</w:t>
            </w:r>
          </w:p>
        </w:tc>
        <w:tc>
          <w:tcPr>
            <w:tcW w:w="1021" w:type="pct"/>
            <w:vAlign w:val="center"/>
          </w:tcPr>
          <w:p>
            <w:pPr>
              <w:snapToGrid w:val="0"/>
              <w:jc w:val="center"/>
              <w:rPr>
                <w:rFonts w:ascii="Times New Roman" w:hAnsi="Times New Roman"/>
                <w:kern w:val="0"/>
                <w:szCs w:val="21"/>
              </w:rPr>
            </w:pPr>
            <w:r>
              <w:rPr>
                <w:rFonts w:ascii="Times New Roman" w:hAnsi="Times New Roman"/>
                <w:kern w:val="0"/>
                <w:szCs w:val="21"/>
              </w:rPr>
              <w:t>1</w:t>
            </w:r>
          </w:p>
        </w:tc>
        <w:tc>
          <w:tcPr>
            <w:tcW w:w="2065" w:type="pct"/>
            <w:gridSpan w:val="2"/>
            <w:vAlign w:val="center"/>
          </w:tcPr>
          <w:p>
            <w:pPr>
              <w:snapToGrid w:val="0"/>
              <w:jc w:val="center"/>
              <w:rPr>
                <w:rFonts w:ascii="Times New Roman" w:hAnsi="Times New Roman"/>
                <w:kern w:val="0"/>
                <w:szCs w:val="21"/>
              </w:rPr>
            </w:pPr>
            <w:r>
              <w:rPr>
                <w:rFonts w:ascii="Times New Roman" w:hAnsi="Times New Roman"/>
                <w:kern w:val="0"/>
                <w:szCs w:val="21"/>
              </w:rPr>
              <w:t>第三、四学年为提升和补充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2" w:type="pct"/>
            <w:vAlign w:val="center"/>
          </w:tcPr>
          <w:p>
            <w:pPr>
              <w:snapToGrid w:val="0"/>
              <w:jc w:val="center"/>
              <w:rPr>
                <w:rFonts w:ascii="Times New Roman" w:hAnsi="Times New Roman"/>
                <w:kern w:val="0"/>
                <w:szCs w:val="21"/>
              </w:rPr>
            </w:pPr>
            <w:r>
              <w:rPr>
                <w:rFonts w:ascii="Times New Roman" w:hAnsi="Times New Roman"/>
                <w:kern w:val="0"/>
                <w:szCs w:val="21"/>
              </w:rPr>
              <w:t>创新创业</w:t>
            </w:r>
          </w:p>
        </w:tc>
        <w:tc>
          <w:tcPr>
            <w:tcW w:w="4198" w:type="pct"/>
            <w:gridSpan w:val="4"/>
            <w:vAlign w:val="center"/>
          </w:tcPr>
          <w:p>
            <w:pPr>
              <w:snapToGrid w:val="0"/>
              <w:jc w:val="center"/>
              <w:rPr>
                <w:rFonts w:ascii="Times New Roman" w:hAnsi="Times New Roman"/>
                <w:kern w:val="0"/>
                <w:szCs w:val="21"/>
              </w:rPr>
            </w:pPr>
            <w:r>
              <w:rPr>
                <w:rFonts w:ascii="Times New Roman" w:hAnsi="Times New Roman"/>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2" w:type="pct"/>
            <w:vAlign w:val="center"/>
          </w:tcPr>
          <w:p>
            <w:pPr>
              <w:snapToGrid w:val="0"/>
              <w:jc w:val="center"/>
              <w:rPr>
                <w:rFonts w:ascii="Times New Roman" w:hAnsi="Times New Roman"/>
                <w:kern w:val="0"/>
                <w:szCs w:val="21"/>
              </w:rPr>
            </w:pPr>
            <w:r>
              <w:rPr>
                <w:rFonts w:ascii="Times New Roman" w:hAnsi="Times New Roman"/>
                <w:kern w:val="0"/>
                <w:szCs w:val="21"/>
              </w:rPr>
              <w:t>文体活动</w:t>
            </w:r>
          </w:p>
        </w:tc>
        <w:tc>
          <w:tcPr>
            <w:tcW w:w="1111" w:type="pct"/>
            <w:vAlign w:val="center"/>
          </w:tcPr>
          <w:p>
            <w:pPr>
              <w:snapToGrid w:val="0"/>
              <w:jc w:val="center"/>
              <w:rPr>
                <w:rFonts w:ascii="Times New Roman" w:hAnsi="Times New Roman"/>
                <w:kern w:val="0"/>
                <w:szCs w:val="21"/>
              </w:rPr>
            </w:pPr>
            <w:r>
              <w:rPr>
                <w:rFonts w:ascii="Times New Roman" w:hAnsi="Times New Roman"/>
                <w:kern w:val="0"/>
                <w:szCs w:val="21"/>
              </w:rPr>
              <w:t>0.25</w:t>
            </w:r>
          </w:p>
        </w:tc>
        <w:tc>
          <w:tcPr>
            <w:tcW w:w="1021" w:type="pct"/>
            <w:vAlign w:val="center"/>
          </w:tcPr>
          <w:p>
            <w:pPr>
              <w:snapToGrid w:val="0"/>
              <w:jc w:val="center"/>
              <w:rPr>
                <w:rFonts w:ascii="Times New Roman" w:hAnsi="Times New Roman"/>
                <w:kern w:val="0"/>
                <w:szCs w:val="21"/>
              </w:rPr>
            </w:pPr>
            <w:r>
              <w:rPr>
                <w:rFonts w:ascii="Times New Roman" w:hAnsi="Times New Roman"/>
                <w:kern w:val="0"/>
                <w:szCs w:val="21"/>
              </w:rPr>
              <w:t>0.25</w:t>
            </w:r>
          </w:p>
        </w:tc>
        <w:tc>
          <w:tcPr>
            <w:tcW w:w="2065" w:type="pct"/>
            <w:gridSpan w:val="2"/>
            <w:vAlign w:val="center"/>
          </w:tcPr>
          <w:p>
            <w:pPr>
              <w:snapToGrid w:val="0"/>
              <w:jc w:val="center"/>
              <w:rPr>
                <w:rFonts w:ascii="Times New Roman" w:hAnsi="Times New Roman"/>
                <w:kern w:val="0"/>
                <w:szCs w:val="21"/>
              </w:rPr>
            </w:pPr>
            <w:r>
              <w:rPr>
                <w:rFonts w:ascii="Times New Roman" w:hAnsi="Times New Roman"/>
                <w:kern w:val="0"/>
                <w:szCs w:val="21"/>
              </w:rPr>
              <w:t>第三、四学年为提升和补充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2" w:type="pct"/>
            <w:vAlign w:val="center"/>
          </w:tcPr>
          <w:p>
            <w:pPr>
              <w:snapToGrid w:val="0"/>
              <w:jc w:val="center"/>
              <w:rPr>
                <w:rFonts w:ascii="Times New Roman" w:hAnsi="Times New Roman"/>
                <w:kern w:val="0"/>
                <w:szCs w:val="21"/>
              </w:rPr>
            </w:pPr>
            <w:r>
              <w:rPr>
                <w:rFonts w:ascii="Times New Roman" w:hAnsi="Times New Roman"/>
                <w:kern w:val="0"/>
                <w:szCs w:val="21"/>
              </w:rPr>
              <w:t>任职履历</w:t>
            </w:r>
          </w:p>
        </w:tc>
        <w:tc>
          <w:tcPr>
            <w:tcW w:w="4198" w:type="pct"/>
            <w:gridSpan w:val="4"/>
            <w:vAlign w:val="center"/>
          </w:tcPr>
          <w:p>
            <w:pPr>
              <w:snapToGrid w:val="0"/>
              <w:jc w:val="center"/>
              <w:rPr>
                <w:rFonts w:ascii="Times New Roman" w:hAnsi="Times New Roman"/>
                <w:kern w:val="0"/>
                <w:szCs w:val="21"/>
              </w:rPr>
            </w:pPr>
            <w:r>
              <w:rPr>
                <w:rFonts w:ascii="Times New Roman" w:hAnsi="Times New Roman"/>
                <w:kern w:val="0"/>
                <w:szCs w:val="21"/>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2" w:type="pct"/>
            <w:vAlign w:val="center"/>
          </w:tcPr>
          <w:p>
            <w:pPr>
              <w:snapToGrid w:val="0"/>
              <w:jc w:val="center"/>
              <w:rPr>
                <w:rFonts w:ascii="Times New Roman" w:hAnsi="Times New Roman"/>
                <w:kern w:val="0"/>
                <w:szCs w:val="21"/>
              </w:rPr>
            </w:pPr>
            <w:r>
              <w:rPr>
                <w:rFonts w:ascii="Times New Roman" w:hAnsi="Times New Roman"/>
                <w:kern w:val="0"/>
                <w:szCs w:val="21"/>
              </w:rPr>
              <w:t>技能特长及其他</w:t>
            </w:r>
          </w:p>
        </w:tc>
        <w:tc>
          <w:tcPr>
            <w:tcW w:w="4198" w:type="pct"/>
            <w:gridSpan w:val="4"/>
            <w:vAlign w:val="center"/>
          </w:tcPr>
          <w:p>
            <w:pPr>
              <w:snapToGrid w:val="0"/>
              <w:jc w:val="center"/>
              <w:rPr>
                <w:rFonts w:ascii="Times New Roman" w:hAnsi="Times New Roman"/>
                <w:kern w:val="0"/>
                <w:szCs w:val="21"/>
              </w:rPr>
            </w:pPr>
            <w:r>
              <w:rPr>
                <w:rFonts w:ascii="Times New Roman" w:hAnsi="Times New Roman"/>
                <w:kern w:val="0"/>
                <w:szCs w:val="21"/>
              </w:rPr>
              <w:t>不做最低限要求</w:t>
            </w:r>
          </w:p>
        </w:tc>
      </w:tr>
    </w:tbl>
    <w:p>
      <w:pPr>
        <w:autoSpaceDE w:val="0"/>
        <w:autoSpaceDN w:val="0"/>
        <w:adjustRightInd w:val="0"/>
        <w:jc w:val="left"/>
        <w:rPr>
          <w:rFonts w:hint="eastAsia" w:ascii="宋体" w:hAnsi="宋体" w:cs="宋体"/>
          <w:sz w:val="24"/>
        </w:rPr>
        <w:sectPr>
          <w:footnotePr>
            <w:numFmt w:val="decimalEnclosedCircleChinese"/>
            <w:numRestart w:val="eachPage"/>
          </w:footnotePr>
          <w:pgSz w:w="16838" w:h="11906" w:orient="landscape"/>
          <w:pgMar w:top="1134" w:right="1134" w:bottom="1134" w:left="1134" w:header="851" w:footer="992" w:gutter="0"/>
          <w:cols w:space="720" w:num="1"/>
          <w:docGrid w:type="lines" w:linePitch="321" w:charSpace="0"/>
        </w:sectPr>
      </w:pPr>
    </w:p>
    <w:p>
      <w:pPr>
        <w:autoSpaceDE w:val="0"/>
        <w:autoSpaceDN w:val="0"/>
        <w:adjustRightInd w:val="0"/>
        <w:jc w:val="center"/>
        <w:rPr>
          <w:rFonts w:hint="eastAsia" w:ascii="黑体" w:hAnsi="黑体" w:eastAsia="黑体"/>
          <w:kern w:val="0"/>
          <w:sz w:val="32"/>
          <w:szCs w:val="32"/>
        </w:rPr>
      </w:pPr>
      <w:r>
        <w:rPr>
          <w:rFonts w:hint="eastAsia" w:ascii="黑体" w:hAnsi="黑体" w:eastAsia="黑体"/>
          <w:kern w:val="0"/>
          <w:sz w:val="32"/>
          <w:szCs w:val="32"/>
        </w:rPr>
        <w:t>附表2：课程体系对毕业要求指标点支撑矩阵图</w:t>
      </w:r>
    </w:p>
    <w:tbl>
      <w:tblPr>
        <w:tblStyle w:val="41"/>
        <w:tblW w:w="106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9"/>
        <w:gridCol w:w="3828"/>
        <w:gridCol w:w="1038"/>
        <w:gridCol w:w="1038"/>
        <w:gridCol w:w="1038"/>
        <w:gridCol w:w="1038"/>
        <w:gridCol w:w="1038"/>
        <w:gridCol w:w="10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37" w:type="dxa"/>
            <w:gridSpan w:val="2"/>
            <w:vMerge w:val="restart"/>
            <w:vAlign w:val="center"/>
          </w:tcPr>
          <w:p>
            <w:pPr>
              <w:spacing w:line="360" w:lineRule="auto"/>
              <w:jc w:val="center"/>
              <w:rPr>
                <w:rFonts w:ascii="Times New Roman" w:hAnsi="Times New Roman"/>
                <w:szCs w:val="21"/>
              </w:rPr>
            </w:pPr>
            <w:r>
              <w:rPr>
                <w:rFonts w:ascii="Times New Roman" w:hAnsi="Times New Roman"/>
                <w:szCs w:val="21"/>
              </w:rPr>
              <w:t>教学环节</w:t>
            </w:r>
          </w:p>
        </w:tc>
        <w:tc>
          <w:tcPr>
            <w:tcW w:w="5190" w:type="dxa"/>
            <w:gridSpan w:val="5"/>
          </w:tcPr>
          <w:p>
            <w:pPr>
              <w:spacing w:line="360" w:lineRule="auto"/>
              <w:jc w:val="center"/>
              <w:rPr>
                <w:rFonts w:ascii="Times New Roman" w:hAnsi="Times New Roman"/>
                <w:szCs w:val="21"/>
              </w:rPr>
            </w:pPr>
            <w:r>
              <w:rPr>
                <w:rFonts w:ascii="Times New Roman" w:hAnsi="Times New Roman"/>
                <w:szCs w:val="21"/>
              </w:rPr>
              <w:t>毕业要求</w:t>
            </w:r>
          </w:p>
        </w:tc>
        <w:tc>
          <w:tcPr>
            <w:tcW w:w="1038" w:type="dxa"/>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37" w:type="dxa"/>
            <w:gridSpan w:val="2"/>
            <w:vMerge w:val="continue"/>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szCs w:val="21"/>
              </w:rPr>
              <w:t>1</w:t>
            </w:r>
          </w:p>
        </w:tc>
        <w:tc>
          <w:tcPr>
            <w:tcW w:w="1038" w:type="dxa"/>
            <w:vAlign w:val="center"/>
          </w:tcPr>
          <w:p>
            <w:pPr>
              <w:spacing w:line="360" w:lineRule="auto"/>
              <w:jc w:val="center"/>
              <w:rPr>
                <w:rFonts w:ascii="Times New Roman" w:hAnsi="Times New Roman"/>
                <w:szCs w:val="21"/>
              </w:rPr>
            </w:pPr>
            <w:r>
              <w:rPr>
                <w:rFonts w:ascii="Times New Roman" w:hAnsi="Times New Roman"/>
                <w:szCs w:val="21"/>
              </w:rPr>
              <w:t>2</w:t>
            </w:r>
          </w:p>
        </w:tc>
        <w:tc>
          <w:tcPr>
            <w:tcW w:w="1038" w:type="dxa"/>
            <w:vAlign w:val="center"/>
          </w:tcPr>
          <w:p>
            <w:pPr>
              <w:spacing w:line="360" w:lineRule="auto"/>
              <w:jc w:val="center"/>
              <w:rPr>
                <w:rFonts w:ascii="Times New Roman" w:hAnsi="Times New Roman"/>
                <w:szCs w:val="21"/>
              </w:rPr>
            </w:pPr>
            <w:r>
              <w:rPr>
                <w:rFonts w:ascii="Times New Roman" w:hAnsi="Times New Roman"/>
                <w:szCs w:val="21"/>
              </w:rPr>
              <w:t>3</w:t>
            </w:r>
          </w:p>
        </w:tc>
        <w:tc>
          <w:tcPr>
            <w:tcW w:w="1038" w:type="dxa"/>
            <w:vAlign w:val="center"/>
          </w:tcPr>
          <w:p>
            <w:pPr>
              <w:spacing w:line="360" w:lineRule="auto"/>
              <w:jc w:val="center"/>
              <w:rPr>
                <w:rFonts w:ascii="Times New Roman" w:hAnsi="Times New Roman"/>
                <w:szCs w:val="21"/>
              </w:rPr>
            </w:pPr>
            <w:r>
              <w:rPr>
                <w:rFonts w:ascii="Times New Roman" w:hAnsi="Times New Roman"/>
                <w:szCs w:val="21"/>
              </w:rPr>
              <w:t>4</w:t>
            </w:r>
          </w:p>
        </w:tc>
        <w:tc>
          <w:tcPr>
            <w:tcW w:w="1038" w:type="dxa"/>
            <w:vAlign w:val="center"/>
          </w:tcPr>
          <w:p>
            <w:pPr>
              <w:spacing w:line="360" w:lineRule="auto"/>
              <w:jc w:val="center"/>
              <w:rPr>
                <w:rFonts w:ascii="Times New Roman" w:hAnsi="Times New Roman"/>
                <w:szCs w:val="21"/>
              </w:rPr>
            </w:pPr>
            <w:r>
              <w:rPr>
                <w:rFonts w:ascii="Times New Roman" w:hAnsi="Times New Roman"/>
                <w:szCs w:val="21"/>
              </w:rPr>
              <w:t>5</w:t>
            </w:r>
          </w:p>
        </w:tc>
        <w:tc>
          <w:tcPr>
            <w:tcW w:w="1038" w:type="dxa"/>
          </w:tcPr>
          <w:p>
            <w:pPr>
              <w:spacing w:line="360" w:lineRule="auto"/>
              <w:jc w:val="center"/>
              <w:rPr>
                <w:rFonts w:ascii="Times New Roman" w:hAnsi="Times New Roman"/>
                <w:szCs w:val="21"/>
              </w:rPr>
            </w:pPr>
            <w:r>
              <w:rPr>
                <w:rFonts w:ascii="Times New Roman" w:hAnsi="Times New Roman"/>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37" w:type="dxa"/>
            <w:gridSpan w:val="2"/>
            <w:vMerge w:val="continue"/>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szCs w:val="21"/>
              </w:rPr>
              <w:t>知识要求</w:t>
            </w:r>
          </w:p>
        </w:tc>
        <w:tc>
          <w:tcPr>
            <w:tcW w:w="1038" w:type="dxa"/>
            <w:vAlign w:val="center"/>
          </w:tcPr>
          <w:p>
            <w:pPr>
              <w:spacing w:line="360" w:lineRule="auto"/>
              <w:jc w:val="center"/>
              <w:rPr>
                <w:rFonts w:ascii="Times New Roman" w:hAnsi="Times New Roman"/>
                <w:szCs w:val="21"/>
              </w:rPr>
            </w:pPr>
            <w:r>
              <w:rPr>
                <w:rFonts w:ascii="Times New Roman" w:hAnsi="Times New Roman"/>
                <w:szCs w:val="21"/>
              </w:rPr>
              <w:t>能力要求</w:t>
            </w:r>
          </w:p>
        </w:tc>
        <w:tc>
          <w:tcPr>
            <w:tcW w:w="1038" w:type="dxa"/>
            <w:vAlign w:val="center"/>
          </w:tcPr>
          <w:p>
            <w:pPr>
              <w:spacing w:line="360" w:lineRule="auto"/>
              <w:jc w:val="center"/>
              <w:rPr>
                <w:rFonts w:ascii="Times New Roman" w:hAnsi="Times New Roman"/>
                <w:szCs w:val="21"/>
              </w:rPr>
            </w:pPr>
            <w:r>
              <w:rPr>
                <w:rFonts w:ascii="Times New Roman" w:hAnsi="Times New Roman"/>
                <w:szCs w:val="21"/>
              </w:rPr>
              <w:t>素质要求</w:t>
            </w:r>
          </w:p>
        </w:tc>
        <w:tc>
          <w:tcPr>
            <w:tcW w:w="1038" w:type="dxa"/>
            <w:vAlign w:val="center"/>
          </w:tcPr>
          <w:p>
            <w:pPr>
              <w:spacing w:line="360" w:lineRule="auto"/>
              <w:jc w:val="center"/>
              <w:rPr>
                <w:rFonts w:ascii="Times New Roman" w:hAnsi="Times New Roman"/>
                <w:szCs w:val="21"/>
              </w:rPr>
            </w:pPr>
            <w:r>
              <w:rPr>
                <w:rFonts w:ascii="Times New Roman" w:hAnsi="Times New Roman"/>
                <w:szCs w:val="21"/>
              </w:rPr>
              <w:t>实践要求</w:t>
            </w:r>
          </w:p>
        </w:tc>
        <w:tc>
          <w:tcPr>
            <w:tcW w:w="1038" w:type="dxa"/>
            <w:vAlign w:val="center"/>
          </w:tcPr>
          <w:p>
            <w:pPr>
              <w:spacing w:line="360" w:lineRule="auto"/>
              <w:jc w:val="center"/>
              <w:rPr>
                <w:rFonts w:ascii="Times New Roman" w:hAnsi="Times New Roman"/>
                <w:szCs w:val="21"/>
              </w:rPr>
            </w:pPr>
            <w:r>
              <w:rPr>
                <w:rFonts w:ascii="Times New Roman" w:hAnsi="Times New Roman"/>
                <w:szCs w:val="21"/>
              </w:rPr>
              <w:t>发展要求</w:t>
            </w:r>
          </w:p>
        </w:tc>
        <w:tc>
          <w:tcPr>
            <w:tcW w:w="1038" w:type="dxa"/>
          </w:tcPr>
          <w:p>
            <w:pPr>
              <w:spacing w:line="360" w:lineRule="auto"/>
              <w:jc w:val="center"/>
              <w:rPr>
                <w:rFonts w:ascii="Times New Roman" w:hAnsi="Times New Roman"/>
                <w:szCs w:val="21"/>
              </w:rPr>
            </w:pPr>
            <w:r>
              <w:rPr>
                <w:rFonts w:ascii="Times New Roman" w:hAnsi="Times New Roman"/>
                <w:szCs w:val="21"/>
              </w:rPr>
              <w:t>伦理要求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restart"/>
            <w:vAlign w:val="center"/>
          </w:tcPr>
          <w:p>
            <w:pPr>
              <w:spacing w:line="240" w:lineRule="exact"/>
              <w:jc w:val="center"/>
              <w:rPr>
                <w:rFonts w:ascii="Times New Roman" w:hAnsi="Times New Roman"/>
                <w:szCs w:val="21"/>
              </w:rPr>
            </w:pPr>
            <w:r>
              <w:rPr>
                <w:rFonts w:ascii="Times New Roman" w:hAnsi="Times New Roman"/>
                <w:szCs w:val="21"/>
              </w:rPr>
              <w:t>通识基础课程</w:t>
            </w:r>
          </w:p>
        </w:tc>
        <w:tc>
          <w:tcPr>
            <w:tcW w:w="3828" w:type="dxa"/>
          </w:tcPr>
          <w:p>
            <w:pPr>
              <w:spacing w:line="360" w:lineRule="auto"/>
              <w:jc w:val="center"/>
              <w:rPr>
                <w:rFonts w:ascii="Times New Roman" w:hAnsi="Times New Roman"/>
                <w:szCs w:val="21"/>
              </w:rPr>
            </w:pPr>
            <w:r>
              <w:rPr>
                <w:rFonts w:ascii="Times New Roman" w:hAnsi="Times New Roman"/>
                <w:szCs w:val="21"/>
              </w:rPr>
              <w:t>习近平新时代中国特色社会主义思想概论</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tcPr>
          <w:p>
            <w:pPr>
              <w:spacing w:line="360" w:lineRule="auto"/>
              <w:jc w:val="center"/>
              <w:rPr>
                <w:rFonts w:ascii="Times New Roman" w:hAnsi="Times New Roman"/>
                <w:szCs w:val="21"/>
              </w:rPr>
            </w:pPr>
            <w:r>
              <w:rPr>
                <w:rFonts w:ascii="Times New Roman" w:hAnsi="Times New Roman"/>
                <w:szCs w:val="21"/>
              </w:rPr>
              <w:t>毛泽东思想和中国特色社会主义理论体系概论</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tcPr>
          <w:p>
            <w:pPr>
              <w:spacing w:line="360" w:lineRule="auto"/>
              <w:jc w:val="center"/>
              <w:rPr>
                <w:rFonts w:ascii="Times New Roman" w:hAnsi="Times New Roman"/>
                <w:szCs w:val="21"/>
              </w:rPr>
            </w:pPr>
            <w:r>
              <w:rPr>
                <w:rFonts w:ascii="Times New Roman" w:hAnsi="Times New Roman"/>
                <w:szCs w:val="21"/>
              </w:rPr>
              <w:t>中华民族共同体概论</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tcPr>
          <w:p>
            <w:pPr>
              <w:spacing w:line="360" w:lineRule="auto"/>
              <w:jc w:val="center"/>
              <w:rPr>
                <w:rFonts w:ascii="Times New Roman" w:hAnsi="Times New Roman"/>
                <w:szCs w:val="21"/>
              </w:rPr>
            </w:pPr>
            <w:r>
              <w:rPr>
                <w:rFonts w:ascii="Times New Roman" w:hAnsi="Times New Roman"/>
                <w:szCs w:val="21"/>
              </w:rPr>
              <w:t>大学生思想文化素养</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tcPr>
          <w:p>
            <w:pPr>
              <w:spacing w:line="360" w:lineRule="auto"/>
              <w:jc w:val="center"/>
              <w:rPr>
                <w:rFonts w:ascii="Times New Roman" w:hAnsi="Times New Roman"/>
                <w:szCs w:val="21"/>
              </w:rPr>
            </w:pPr>
            <w:r>
              <w:rPr>
                <w:rFonts w:ascii="Times New Roman" w:hAnsi="Times New Roman"/>
                <w:szCs w:val="21"/>
              </w:rPr>
              <w:t>中国近现代史纲要</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tcPr>
          <w:p>
            <w:pPr>
              <w:spacing w:line="360" w:lineRule="auto"/>
              <w:jc w:val="center"/>
              <w:rPr>
                <w:rFonts w:ascii="Times New Roman" w:hAnsi="Times New Roman"/>
                <w:szCs w:val="21"/>
              </w:rPr>
            </w:pPr>
            <w:r>
              <w:rPr>
                <w:rFonts w:ascii="Times New Roman" w:hAnsi="Times New Roman"/>
                <w:szCs w:val="21"/>
              </w:rPr>
              <w:t>马克思主义基本原理</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tcPr>
          <w:p>
            <w:pPr>
              <w:spacing w:line="360" w:lineRule="auto"/>
              <w:jc w:val="center"/>
              <w:rPr>
                <w:rFonts w:ascii="Times New Roman" w:hAnsi="Times New Roman"/>
                <w:szCs w:val="21"/>
              </w:rPr>
            </w:pPr>
            <w:r>
              <w:rPr>
                <w:rFonts w:ascii="Times New Roman" w:hAnsi="Times New Roman"/>
                <w:szCs w:val="21"/>
              </w:rPr>
              <w:t>新时代实践教育（1）</w:t>
            </w:r>
            <w:r>
              <w:rPr>
                <w:rFonts w:hint="eastAsia" w:ascii="Times New Roman" w:hAnsi="Times New Roman"/>
                <w:szCs w:val="21"/>
              </w:rPr>
              <w:t>－</w:t>
            </w:r>
            <w:r>
              <w:rPr>
                <w:rFonts w:ascii="Times New Roman" w:hAnsi="Times New Roman"/>
                <w:szCs w:val="21"/>
              </w:rPr>
              <w:t>（</w:t>
            </w:r>
            <w:r>
              <w:rPr>
                <w:rFonts w:hint="eastAsia" w:ascii="Times New Roman" w:hAnsi="Times New Roman"/>
                <w:szCs w:val="21"/>
              </w:rPr>
              <w:t>2</w:t>
            </w:r>
            <w:r>
              <w:rPr>
                <w:rFonts w:ascii="Times New Roman" w:hAnsi="Times New Roman"/>
                <w:szCs w:val="21"/>
              </w:rPr>
              <w:t>）</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hint="eastAsia" w:ascii="Times New Roman" w:hAnsi="Times New Roman" w:eastAsia="等线"/>
                <w:color w:val="000000"/>
                <w:sz w:val="22"/>
                <w:szCs w:val="22"/>
              </w:rPr>
              <w:t>M</w:t>
            </w:r>
          </w:p>
        </w:tc>
        <w:tc>
          <w:tcPr>
            <w:tcW w:w="1038" w:type="dxa"/>
            <w:vAlign w:val="center"/>
          </w:tcPr>
          <w:p>
            <w:pPr>
              <w:spacing w:line="360" w:lineRule="auto"/>
              <w:jc w:val="center"/>
              <w:rPr>
                <w:rFonts w:hint="eastAsia" w:ascii="Times New Roman" w:hAnsi="Times New Roman"/>
                <w:szCs w:val="21"/>
              </w:rPr>
            </w:pPr>
            <w:r>
              <w:rPr>
                <w:rFonts w:hint="eastAsia" w:ascii="Times New Roman" w:hAnsi="Times New Roman"/>
                <w:szCs w:val="21"/>
              </w:rPr>
              <w:t>H</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hint="eastAsia" w:ascii="Times New Roman" w:hAnsi="Times New Roman"/>
                <w:szCs w:val="21"/>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tcPr>
          <w:p>
            <w:pPr>
              <w:spacing w:line="360" w:lineRule="auto"/>
              <w:jc w:val="center"/>
              <w:rPr>
                <w:rFonts w:ascii="Times New Roman" w:hAnsi="Times New Roman"/>
                <w:szCs w:val="21"/>
              </w:rPr>
            </w:pPr>
            <w:r>
              <w:rPr>
                <w:rFonts w:ascii="Times New Roman" w:hAnsi="Times New Roman"/>
                <w:szCs w:val="21"/>
              </w:rPr>
              <w:t>大学生职业规划与就业指导</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tcPr>
          <w:p>
            <w:pPr>
              <w:spacing w:line="360" w:lineRule="auto"/>
              <w:jc w:val="center"/>
              <w:rPr>
                <w:rFonts w:ascii="Times New Roman" w:hAnsi="Times New Roman"/>
                <w:szCs w:val="21"/>
              </w:rPr>
            </w:pPr>
            <w:r>
              <w:rPr>
                <w:rFonts w:ascii="Times New Roman" w:hAnsi="Times New Roman"/>
                <w:szCs w:val="21"/>
              </w:rPr>
              <w:t>大学生心理健康</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tcPr>
          <w:p>
            <w:pPr>
              <w:spacing w:line="360" w:lineRule="auto"/>
              <w:jc w:val="center"/>
              <w:rPr>
                <w:rFonts w:ascii="Times New Roman" w:hAnsi="Times New Roman"/>
                <w:szCs w:val="21"/>
              </w:rPr>
            </w:pPr>
            <w:r>
              <w:rPr>
                <w:rFonts w:ascii="Times New Roman" w:hAnsi="Times New Roman"/>
                <w:szCs w:val="21"/>
              </w:rPr>
              <w:t>大学英语I-IV</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tcPr>
          <w:p>
            <w:pPr>
              <w:spacing w:line="360" w:lineRule="auto"/>
              <w:jc w:val="center"/>
              <w:rPr>
                <w:rFonts w:ascii="Times New Roman" w:hAnsi="Times New Roman"/>
                <w:szCs w:val="21"/>
              </w:rPr>
            </w:pPr>
            <w:r>
              <w:rPr>
                <w:rFonts w:ascii="Times New Roman" w:hAnsi="Times New Roman"/>
                <w:szCs w:val="21"/>
              </w:rPr>
              <w:t>公共体育（1）</w:t>
            </w:r>
            <w:r>
              <w:rPr>
                <w:rFonts w:hint="eastAsia" w:ascii="Times New Roman" w:hAnsi="Times New Roman"/>
                <w:szCs w:val="21"/>
              </w:rPr>
              <w:t>－</w:t>
            </w:r>
            <w:r>
              <w:rPr>
                <w:rFonts w:ascii="Times New Roman" w:hAnsi="Times New Roman"/>
                <w:szCs w:val="21"/>
              </w:rPr>
              <w:t>（4）</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tcPr>
          <w:p>
            <w:pPr>
              <w:spacing w:line="360" w:lineRule="auto"/>
              <w:jc w:val="center"/>
              <w:rPr>
                <w:rFonts w:ascii="Times New Roman" w:hAnsi="Times New Roman"/>
                <w:szCs w:val="21"/>
              </w:rPr>
            </w:pPr>
            <w:r>
              <w:rPr>
                <w:rFonts w:ascii="Times New Roman" w:hAnsi="Times New Roman"/>
                <w:szCs w:val="21"/>
              </w:rPr>
              <w:t>体质健康检测</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tcPr>
          <w:p>
            <w:pPr>
              <w:spacing w:line="360" w:lineRule="auto"/>
              <w:jc w:val="center"/>
              <w:rPr>
                <w:rFonts w:ascii="Times New Roman" w:hAnsi="Times New Roman"/>
                <w:szCs w:val="21"/>
              </w:rPr>
            </w:pPr>
            <w:r>
              <w:rPr>
                <w:rFonts w:ascii="Times New Roman" w:hAnsi="Times New Roman"/>
                <w:szCs w:val="21"/>
              </w:rPr>
              <w:t>军事理论</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tcPr>
          <w:p>
            <w:pPr>
              <w:spacing w:line="360" w:lineRule="auto"/>
              <w:jc w:val="center"/>
              <w:rPr>
                <w:rFonts w:ascii="Times New Roman" w:hAnsi="Times New Roman"/>
                <w:szCs w:val="21"/>
              </w:rPr>
            </w:pPr>
            <w:r>
              <w:rPr>
                <w:rFonts w:ascii="Times New Roman" w:hAnsi="Times New Roman"/>
                <w:szCs w:val="21"/>
              </w:rPr>
              <w:t>国家安全教育</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tcPr>
          <w:p>
            <w:pPr>
              <w:spacing w:line="360" w:lineRule="auto"/>
              <w:jc w:val="center"/>
              <w:rPr>
                <w:rFonts w:ascii="Times New Roman" w:hAnsi="Times New Roman"/>
                <w:szCs w:val="21"/>
              </w:rPr>
            </w:pPr>
            <w:r>
              <w:rPr>
                <w:rFonts w:ascii="Times New Roman" w:hAnsi="Times New Roman"/>
                <w:szCs w:val="21"/>
              </w:rPr>
              <w:t>人工智能通识与应用A</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tcPr>
          <w:p>
            <w:pPr>
              <w:spacing w:line="360" w:lineRule="auto"/>
              <w:jc w:val="center"/>
              <w:rPr>
                <w:rFonts w:ascii="Times New Roman" w:hAnsi="Times New Roman"/>
                <w:szCs w:val="21"/>
              </w:rPr>
            </w:pPr>
            <w:r>
              <w:rPr>
                <w:rFonts w:ascii="Times New Roman" w:hAnsi="Times New Roman"/>
                <w:szCs w:val="21"/>
              </w:rPr>
              <w:t>创新创业基础</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restart"/>
            <w:vAlign w:val="center"/>
          </w:tcPr>
          <w:p>
            <w:pPr>
              <w:spacing w:line="240" w:lineRule="exact"/>
              <w:jc w:val="center"/>
              <w:rPr>
                <w:rFonts w:ascii="Times New Roman" w:hAnsi="Times New Roman"/>
                <w:szCs w:val="21"/>
              </w:rPr>
            </w:pPr>
            <w:r>
              <w:rPr>
                <w:rFonts w:ascii="Times New Roman" w:hAnsi="Times New Roman"/>
                <w:szCs w:val="21"/>
              </w:rPr>
              <w:t>专业基础课程</w:t>
            </w:r>
          </w:p>
        </w:tc>
        <w:tc>
          <w:tcPr>
            <w:tcW w:w="3828" w:type="dxa"/>
            <w:vAlign w:val="center"/>
          </w:tcPr>
          <w:p>
            <w:pPr>
              <w:spacing w:line="360" w:lineRule="auto"/>
              <w:jc w:val="center"/>
              <w:rPr>
                <w:rFonts w:ascii="Times New Roman" w:hAnsi="Times New Roman"/>
                <w:szCs w:val="21"/>
              </w:rPr>
            </w:pPr>
            <w:r>
              <w:rPr>
                <w:rFonts w:ascii="Times New Roman" w:hAnsi="Times New Roman"/>
                <w:szCs w:val="21"/>
              </w:rPr>
              <w:t>微观经济学</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spacing w:line="360" w:lineRule="auto"/>
              <w:jc w:val="center"/>
              <w:rPr>
                <w:rFonts w:ascii="Times New Roman" w:hAnsi="Times New Roman"/>
                <w:szCs w:val="21"/>
              </w:rPr>
            </w:pPr>
            <w:r>
              <w:rPr>
                <w:rFonts w:ascii="Times New Roman" w:hAnsi="Times New Roman"/>
                <w:szCs w:val="21"/>
              </w:rPr>
              <w:t>数字经济专业导读课</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spacing w:line="360" w:lineRule="auto"/>
              <w:jc w:val="center"/>
              <w:rPr>
                <w:rFonts w:ascii="Times New Roman" w:hAnsi="Times New Roman"/>
                <w:szCs w:val="21"/>
              </w:rPr>
            </w:pPr>
            <w:r>
              <w:rPr>
                <w:rFonts w:ascii="Times New Roman" w:hAnsi="Times New Roman"/>
                <w:szCs w:val="21"/>
              </w:rPr>
              <w:t>高等数学1</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spacing w:line="360" w:lineRule="auto"/>
              <w:jc w:val="center"/>
              <w:rPr>
                <w:rFonts w:ascii="Times New Roman" w:hAnsi="Times New Roman"/>
                <w:szCs w:val="21"/>
              </w:rPr>
            </w:pPr>
            <w:r>
              <w:rPr>
                <w:rFonts w:ascii="Times New Roman" w:hAnsi="Times New Roman"/>
                <w:szCs w:val="21"/>
              </w:rPr>
              <w:t>高等数学2</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宏观经济学</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线性代数</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会计学原理</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概率论与数理统计</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统计学原理</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restart"/>
            <w:vAlign w:val="center"/>
          </w:tcPr>
          <w:p>
            <w:pPr>
              <w:spacing w:line="240" w:lineRule="exact"/>
              <w:jc w:val="center"/>
              <w:rPr>
                <w:rFonts w:ascii="Times New Roman" w:hAnsi="Times New Roman"/>
                <w:szCs w:val="21"/>
              </w:rPr>
            </w:pPr>
            <w:r>
              <w:rPr>
                <w:rFonts w:ascii="Times New Roman" w:hAnsi="Times New Roman"/>
                <w:szCs w:val="21"/>
              </w:rPr>
              <w:t>专业核心课程</w:t>
            </w:r>
          </w:p>
        </w:tc>
        <w:tc>
          <w:tcPr>
            <w:tcW w:w="3828" w:type="dxa"/>
            <w:vAlign w:val="center"/>
          </w:tcPr>
          <w:p>
            <w:pPr>
              <w:jc w:val="center"/>
              <w:rPr>
                <w:rFonts w:ascii="Times New Roman" w:hAnsi="Times New Roman"/>
                <w:szCs w:val="21"/>
              </w:rPr>
            </w:pPr>
            <w:r>
              <w:rPr>
                <w:rFonts w:ascii="Times New Roman" w:hAnsi="Times New Roman"/>
                <w:szCs w:val="21"/>
              </w:rPr>
              <w:t>政治经济学</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习近平经济思想概论</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数字经济学</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财政学</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金融学</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数字贸易</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数字金融与金融科技</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计量经济学</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信息经济学</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经济大数据</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人工智能与产业发展</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restart"/>
            <w:vAlign w:val="center"/>
          </w:tcPr>
          <w:p>
            <w:pPr>
              <w:spacing w:line="240" w:lineRule="exact"/>
              <w:jc w:val="center"/>
              <w:rPr>
                <w:rFonts w:ascii="Times New Roman" w:hAnsi="Times New Roman"/>
                <w:szCs w:val="21"/>
              </w:rPr>
            </w:pPr>
            <w:r>
              <w:rPr>
                <w:rFonts w:ascii="Times New Roman" w:hAnsi="Times New Roman"/>
                <w:szCs w:val="21"/>
              </w:rPr>
              <w:t>专业拓展课程</w:t>
            </w:r>
          </w:p>
        </w:tc>
        <w:tc>
          <w:tcPr>
            <w:tcW w:w="3828" w:type="dxa"/>
            <w:vAlign w:val="center"/>
          </w:tcPr>
          <w:p>
            <w:pPr>
              <w:jc w:val="center"/>
              <w:rPr>
                <w:rFonts w:ascii="Times New Roman" w:hAnsi="Times New Roman"/>
                <w:szCs w:val="21"/>
              </w:rPr>
            </w:pPr>
            <w:r>
              <w:rPr>
                <w:rFonts w:ascii="Times New Roman" w:hAnsi="Times New Roman"/>
                <w:szCs w:val="21"/>
              </w:rPr>
              <w:t>管理学原理</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数字经济沙盘实训</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Python语言</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数理经济学</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人工智能经济学</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数字经济创新实践</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专业写作：文献与阅读</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数据要素理论与实践</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数字经济治理与监管</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专业英语</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大数据可视化</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数据库基础</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平台经济学</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数字商务</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中国数字经济发展专题</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大数据与经济决策</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市场调查与预测</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专业写作：方法与数据</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运筹学</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数据结构与算法</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经济博弈论</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数据资产</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数字政府与社会</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数字贸易实务与规则</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产业数字化转型案例分析</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经济法</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应用数学（基础）</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bookmarkStart w:id="142" w:name="_Hlk201064011"/>
          </w:p>
        </w:tc>
        <w:tc>
          <w:tcPr>
            <w:tcW w:w="3828" w:type="dxa"/>
            <w:vAlign w:val="center"/>
          </w:tcPr>
          <w:p>
            <w:pPr>
              <w:jc w:val="center"/>
              <w:rPr>
                <w:rFonts w:ascii="Times New Roman" w:hAnsi="Times New Roman"/>
                <w:szCs w:val="21"/>
              </w:rPr>
            </w:pPr>
            <w:r>
              <w:rPr>
                <w:rFonts w:ascii="Times New Roman" w:hAnsi="Times New Roman"/>
                <w:szCs w:val="21"/>
              </w:rPr>
              <w:t>Python数据分析</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r>
      <w:bookmarkEnd w:id="14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大模型应用</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RPA财务机器人</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智慧银行数字化运营决策仿真实验</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网络经济学</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绿色经济学</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AI与当代经济</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hint="eastAsia" w:ascii="Times New Roman" w:hAnsi="Times New Roman"/>
                <w:szCs w:val="21"/>
              </w:rPr>
              <w:t>中国—东盟</w:t>
            </w:r>
            <w:r>
              <w:rPr>
                <w:rFonts w:ascii="Times New Roman" w:hAnsi="Times New Roman"/>
                <w:szCs w:val="21"/>
              </w:rPr>
              <w:t>数字经济产业合作专题</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专业写作：应用与训练</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智慧财政</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应用数学（提高 ）</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时间序列分析</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面板数据分析</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Stata大数据分析</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机器学习与因果推断</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数智时代的薪酬管理</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商务智能与决策分析</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行为与实验经济学</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应用数学（强化）</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vAlign w:val="center"/>
          </w:tcPr>
          <w:p>
            <w:pPr>
              <w:jc w:val="center"/>
              <w:rPr>
                <w:rFonts w:ascii="Times New Roman" w:hAnsi="Times New Roman"/>
                <w:szCs w:val="21"/>
              </w:rPr>
            </w:pPr>
            <w:r>
              <w:rPr>
                <w:rFonts w:ascii="Times New Roman" w:hAnsi="Times New Roman"/>
                <w:szCs w:val="21"/>
              </w:rPr>
              <w:t>互联网金融与理财学</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bookmarkStart w:id="143" w:name="OLE_LINK9"/>
            <w:r>
              <w:rPr>
                <w:rFonts w:ascii="Times New Roman" w:hAnsi="Times New Roman" w:eastAsia="等线"/>
                <w:color w:val="000000"/>
                <w:sz w:val="22"/>
                <w:szCs w:val="22"/>
              </w:rPr>
              <w:t>M</w:t>
            </w:r>
            <w:bookmarkEnd w:id="143"/>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restart"/>
            <w:vAlign w:val="center"/>
          </w:tcPr>
          <w:p>
            <w:pPr>
              <w:spacing w:line="240" w:lineRule="exact"/>
              <w:jc w:val="center"/>
              <w:rPr>
                <w:rFonts w:ascii="Times New Roman" w:hAnsi="Times New Roman"/>
                <w:szCs w:val="21"/>
              </w:rPr>
            </w:pPr>
            <w:r>
              <w:rPr>
                <w:rFonts w:ascii="Times New Roman" w:hAnsi="Times New Roman"/>
                <w:szCs w:val="21"/>
              </w:rPr>
              <w:t>实践教学课程</w:t>
            </w:r>
          </w:p>
        </w:tc>
        <w:tc>
          <w:tcPr>
            <w:tcW w:w="3828" w:type="dxa"/>
          </w:tcPr>
          <w:p>
            <w:pPr>
              <w:jc w:val="center"/>
              <w:rPr>
                <w:rFonts w:ascii="Times New Roman" w:hAnsi="Times New Roman"/>
                <w:szCs w:val="21"/>
              </w:rPr>
            </w:pPr>
            <w:r>
              <w:rPr>
                <w:rFonts w:ascii="Times New Roman" w:hAnsi="Times New Roman"/>
                <w:szCs w:val="21"/>
              </w:rPr>
              <w:t>军事技能</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tcPr>
          <w:p>
            <w:pPr>
              <w:jc w:val="center"/>
              <w:rPr>
                <w:rFonts w:ascii="Times New Roman" w:hAnsi="Times New Roman"/>
                <w:szCs w:val="21"/>
              </w:rPr>
            </w:pPr>
            <w:r>
              <w:rPr>
                <w:rFonts w:ascii="Times New Roman" w:hAnsi="Times New Roman"/>
                <w:szCs w:val="21"/>
              </w:rPr>
              <w:t>劳动教育</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tcPr>
          <w:p>
            <w:pPr>
              <w:jc w:val="center"/>
              <w:rPr>
                <w:rFonts w:ascii="Times New Roman" w:hAnsi="Times New Roman"/>
                <w:szCs w:val="21"/>
              </w:rPr>
            </w:pPr>
            <w:r>
              <w:rPr>
                <w:rFonts w:ascii="Times New Roman" w:hAnsi="Times New Roman"/>
                <w:szCs w:val="21"/>
              </w:rPr>
              <w:t>社会实践</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tcPr>
          <w:p>
            <w:pPr>
              <w:jc w:val="center"/>
              <w:rPr>
                <w:rFonts w:ascii="Times New Roman" w:hAnsi="Times New Roman"/>
                <w:szCs w:val="21"/>
              </w:rPr>
            </w:pPr>
            <w:r>
              <w:rPr>
                <w:rFonts w:ascii="Times New Roman" w:hAnsi="Times New Roman"/>
                <w:szCs w:val="21"/>
              </w:rPr>
              <w:t>专业见习</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tcPr>
          <w:p>
            <w:pPr>
              <w:jc w:val="center"/>
              <w:rPr>
                <w:rFonts w:ascii="Times New Roman" w:hAnsi="Times New Roman"/>
                <w:szCs w:val="21"/>
              </w:rPr>
            </w:pPr>
            <w:r>
              <w:rPr>
                <w:rFonts w:ascii="Times New Roman" w:hAnsi="Times New Roman"/>
                <w:szCs w:val="21"/>
              </w:rPr>
              <w:t>专业实习</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Merge w:val="continue"/>
            <w:vAlign w:val="center"/>
          </w:tcPr>
          <w:p>
            <w:pPr>
              <w:spacing w:line="240" w:lineRule="exact"/>
              <w:jc w:val="center"/>
              <w:rPr>
                <w:rFonts w:ascii="Times New Roman" w:hAnsi="Times New Roman"/>
                <w:szCs w:val="21"/>
              </w:rPr>
            </w:pPr>
          </w:p>
        </w:tc>
        <w:tc>
          <w:tcPr>
            <w:tcW w:w="3828" w:type="dxa"/>
          </w:tcPr>
          <w:p>
            <w:pPr>
              <w:jc w:val="center"/>
              <w:rPr>
                <w:rFonts w:ascii="Times New Roman" w:hAnsi="Times New Roman"/>
                <w:szCs w:val="21"/>
              </w:rPr>
            </w:pPr>
            <w:r>
              <w:rPr>
                <w:rFonts w:ascii="Times New Roman" w:hAnsi="Times New Roman"/>
                <w:szCs w:val="21"/>
              </w:rPr>
              <w:t>毕业论文（设计）</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L</w:t>
            </w: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H</w:t>
            </w:r>
          </w:p>
        </w:tc>
        <w:tc>
          <w:tcPr>
            <w:tcW w:w="1038" w:type="dxa"/>
            <w:vAlign w:val="center"/>
          </w:tcPr>
          <w:p>
            <w:pPr>
              <w:spacing w:line="360" w:lineRule="auto"/>
              <w:jc w:val="center"/>
              <w:rPr>
                <w:rFonts w:ascii="Times New Roman" w:hAnsi="Times New Roman"/>
                <w:szCs w:val="21"/>
              </w:rPr>
            </w:pPr>
          </w:p>
        </w:tc>
        <w:tc>
          <w:tcPr>
            <w:tcW w:w="1038" w:type="dxa"/>
            <w:vAlign w:val="center"/>
          </w:tcPr>
          <w:p>
            <w:pPr>
              <w:spacing w:line="360" w:lineRule="auto"/>
              <w:jc w:val="center"/>
              <w:rPr>
                <w:rFonts w:ascii="Times New Roman" w:hAnsi="Times New Roman"/>
                <w:szCs w:val="21"/>
              </w:rPr>
            </w:pPr>
            <w:r>
              <w:rPr>
                <w:rFonts w:ascii="Times New Roman" w:hAnsi="Times New Roman" w:eastAsia="等线"/>
                <w:color w:val="000000"/>
                <w:sz w:val="22"/>
                <w:szCs w:val="22"/>
              </w:rPr>
              <w:t>M</w:t>
            </w:r>
          </w:p>
        </w:tc>
      </w:tr>
    </w:tbl>
    <w:p>
      <w:pPr>
        <w:rPr>
          <w:rFonts w:hint="eastAsia" w:ascii="宋体" w:hAnsi="宋体" w:cs="宋体"/>
          <w:szCs w:val="21"/>
        </w:rPr>
        <w:sectPr>
          <w:footerReference r:id="rId14" w:type="default"/>
          <w:footnotePr>
            <w:numFmt w:val="decimalEnclosedCircleChinese"/>
            <w:numRestart w:val="eachPage"/>
          </w:footnotePr>
          <w:pgSz w:w="11906" w:h="16838"/>
          <w:pgMar w:top="1440" w:right="1800" w:bottom="1440" w:left="1800" w:header="851" w:footer="992" w:gutter="0"/>
          <w:cols w:space="425" w:num="1"/>
          <w:docGrid w:type="lines" w:linePitch="312" w:charSpace="0"/>
        </w:sectPr>
      </w:pPr>
    </w:p>
    <w:p>
      <w:pPr>
        <w:autoSpaceDE w:val="0"/>
        <w:autoSpaceDN w:val="0"/>
        <w:spacing w:line="400" w:lineRule="exact"/>
        <w:ind w:left="20"/>
        <w:jc w:val="center"/>
        <w:rPr>
          <w:rFonts w:hint="eastAsia" w:ascii="黑体" w:hAnsi="黑体" w:eastAsia="黑体" w:cs="黑体"/>
          <w:color w:val="000000" w:themeColor="text1"/>
          <w:kern w:val="0"/>
          <w:sz w:val="32"/>
          <w:szCs w:val="32"/>
          <w:lang w:val="zh-CN" w:bidi="zh-CN"/>
          <w14:textFill>
            <w14:solidFill>
              <w14:schemeClr w14:val="tx1"/>
            </w14:solidFill>
          </w14:textFill>
        </w:rPr>
      </w:pPr>
      <w:r>
        <w:rPr>
          <w:rFonts w:hint="eastAsia" w:ascii="Times New Roman" w:hAnsi="Times New Roman" w:eastAsia="黑体" w:cs="黑体"/>
          <w:color w:val="000000" w:themeColor="text1"/>
          <w:kern w:val="0"/>
          <w:sz w:val="32"/>
          <w:szCs w:val="32"/>
          <w:lang w:bidi="zh-CN"/>
          <w14:textFill>
            <w14:solidFill>
              <w14:schemeClr w14:val="tx1"/>
            </w14:solidFill>
          </w14:textFill>
        </w:rPr>
        <w:t>10</w:t>
      </w:r>
      <w:r>
        <w:rPr>
          <w:rFonts w:ascii="黑体" w:hAnsi="黑体" w:eastAsia="黑体" w:cs="黑体"/>
          <w:color w:val="000000" w:themeColor="text1"/>
          <w:kern w:val="0"/>
          <w:sz w:val="32"/>
          <w:szCs w:val="32"/>
          <w:lang w:val="zh-CN" w:bidi="zh-CN"/>
          <w14:textFill>
            <w14:solidFill>
              <w14:schemeClr w14:val="tx1"/>
            </w14:solidFill>
          </w14:textFill>
        </w:rPr>
        <w:t>.</w:t>
      </w:r>
      <w:r>
        <w:rPr>
          <w:rFonts w:hint="eastAsia" w:ascii="黑体" w:hAnsi="黑体" w:eastAsia="黑体" w:cs="黑体"/>
          <w:color w:val="000000" w:themeColor="text1"/>
          <w:kern w:val="0"/>
          <w:sz w:val="32"/>
          <w:szCs w:val="32"/>
          <w:lang w:bidi="zh-CN"/>
          <w14:textFill>
            <w14:solidFill>
              <w14:schemeClr w14:val="tx1"/>
            </w14:solidFill>
          </w14:textFill>
        </w:rPr>
        <w:t>校内专业设置评议专家组意见表</w:t>
      </w:r>
    </w:p>
    <w:tbl>
      <w:tblPr>
        <w:tblStyle w:val="40"/>
        <w:tblW w:w="910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54"/>
        <w:gridCol w:w="3459"/>
        <w:gridCol w:w="21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913" w:type="dxa"/>
            <w:gridSpan w:val="2"/>
            <w:vAlign w:val="center"/>
          </w:tcPr>
          <w:p>
            <w:pPr>
              <w:autoSpaceDE w:val="0"/>
              <w:autoSpaceDN w:val="0"/>
              <w:jc w:val="center"/>
              <w:rPr>
                <w:rFonts w:hint="eastAsia" w:ascii="宋体" w:hAnsi="宋体"/>
                <w:kern w:val="0"/>
                <w:sz w:val="24"/>
                <w:szCs w:val="22"/>
                <w:lang w:val="zh-CN" w:bidi="zh-CN"/>
              </w:rPr>
            </w:pPr>
            <w:r>
              <w:rPr>
                <w:rFonts w:ascii="宋体" w:hAnsi="宋体"/>
                <w:kern w:val="0"/>
                <w:sz w:val="24"/>
                <w:szCs w:val="22"/>
                <w:lang w:val="zh-CN" w:bidi="zh-CN"/>
              </w:rPr>
              <w:t>总体判断拟开设专业是否可行</w:t>
            </w:r>
          </w:p>
        </w:tc>
        <w:tc>
          <w:tcPr>
            <w:tcW w:w="2190" w:type="dxa"/>
            <w:vAlign w:val="center"/>
          </w:tcPr>
          <w:p>
            <w:pPr>
              <w:autoSpaceDE w:val="0"/>
              <w:autoSpaceDN w:val="0"/>
              <w:jc w:val="center"/>
              <w:rPr>
                <w:rFonts w:hint="eastAsia" w:ascii="宋体" w:hAnsi="宋体"/>
                <w:kern w:val="0"/>
                <w:sz w:val="24"/>
                <w:szCs w:val="22"/>
                <w:lang w:val="zh-CN" w:bidi="zh-CN"/>
              </w:rPr>
            </w:pPr>
            <w:r>
              <w:rPr>
                <w:rFonts w:ascii="Segoe UI Symbol" w:hAnsi="Segoe UI Symbol" w:cs="Segoe UI Symbol"/>
                <w:kern w:val="0"/>
                <w:sz w:val="24"/>
                <w:szCs w:val="22"/>
                <w:lang w:val="zh-CN" w:bidi="zh-CN"/>
              </w:rPr>
              <w:t>☑</w:t>
            </w:r>
            <w:r>
              <w:rPr>
                <w:rFonts w:hint="eastAsia" w:ascii="宋体" w:hAnsi="宋体"/>
                <w:kern w:val="0"/>
                <w:sz w:val="24"/>
                <w:szCs w:val="22"/>
                <w:lang w:val="zh-CN" w:bidi="zh-CN"/>
              </w:rPr>
              <w:t>是</w:t>
            </w:r>
            <w:r>
              <w:rPr>
                <w:rFonts w:hint="eastAsia" w:ascii="宋体" w:hAnsi="宋体"/>
                <w:kern w:val="0"/>
                <w:sz w:val="24"/>
                <w:szCs w:val="22"/>
                <w:lang w:val="zh-CN" w:bidi="zh-CN"/>
              </w:rPr>
              <w:tab/>
            </w:r>
            <w:r>
              <w:rPr>
                <w:rFonts w:hint="eastAsia" w:ascii="宋体" w:hAnsi="宋体"/>
                <w:kern w:val="0"/>
                <w:sz w:val="24"/>
                <w:szCs w:val="22"/>
                <w:lang w:val="zh-CN" w:bidi="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4" w:hRule="atLeast"/>
          <w:jc w:val="center"/>
        </w:trPr>
        <w:tc>
          <w:tcPr>
            <w:tcW w:w="9103" w:type="dxa"/>
            <w:gridSpan w:val="3"/>
          </w:tcPr>
          <w:p>
            <w:pPr>
              <w:autoSpaceDE w:val="0"/>
              <w:autoSpaceDN w:val="0"/>
              <w:spacing w:before="112" w:line="276" w:lineRule="auto"/>
              <w:ind w:left="107" w:firstLine="480" w:firstLineChars="200"/>
              <w:rPr>
                <w:rFonts w:hint="eastAsia" w:ascii="宋体" w:hAnsi="宋体"/>
                <w:kern w:val="0"/>
                <w:sz w:val="24"/>
                <w:szCs w:val="22"/>
                <w:lang w:val="zh-CN" w:bidi="zh-CN"/>
              </w:rPr>
            </w:pPr>
            <w:r>
              <w:rPr>
                <w:rFonts w:hint="eastAsia" w:ascii="宋体" w:hAnsi="宋体"/>
                <w:kern w:val="0"/>
                <w:sz w:val="24"/>
                <w:szCs w:val="22"/>
                <w:lang w:val="zh-CN" w:bidi="zh-CN"/>
              </w:rPr>
              <w:t>经全面评估，广西师范大学增设数字经济本科专业具有高度必要性与充分可行性。</w:t>
            </w:r>
          </w:p>
          <w:p>
            <w:pPr>
              <w:autoSpaceDE w:val="0"/>
              <w:autoSpaceDN w:val="0"/>
              <w:spacing w:before="112" w:line="276" w:lineRule="auto"/>
              <w:ind w:left="107"/>
              <w:rPr>
                <w:rFonts w:hint="eastAsia" w:ascii="宋体" w:hAnsi="宋体"/>
                <w:b/>
                <w:bCs/>
                <w:kern w:val="0"/>
                <w:sz w:val="24"/>
                <w:szCs w:val="22"/>
                <w:lang w:val="zh-CN" w:bidi="zh-CN"/>
              </w:rPr>
            </w:pPr>
            <w:r>
              <w:rPr>
                <w:rFonts w:hint="eastAsia" w:ascii="宋体" w:hAnsi="宋体"/>
                <w:b/>
                <w:bCs/>
                <w:kern w:val="0"/>
                <w:sz w:val="24"/>
                <w:szCs w:val="22"/>
                <w:lang w:val="zh-CN" w:bidi="zh-CN"/>
              </w:rPr>
              <w:t>一、战略定位精准，区域需求迫切</w:t>
            </w:r>
          </w:p>
          <w:p>
            <w:pPr>
              <w:autoSpaceDE w:val="0"/>
              <w:autoSpaceDN w:val="0"/>
              <w:spacing w:before="112" w:line="276" w:lineRule="auto"/>
              <w:ind w:left="107" w:firstLine="480" w:firstLineChars="200"/>
              <w:rPr>
                <w:rFonts w:hint="eastAsia" w:ascii="宋体" w:hAnsi="宋体"/>
                <w:kern w:val="0"/>
                <w:sz w:val="24"/>
                <w:szCs w:val="22"/>
                <w:lang w:val="zh-CN" w:bidi="zh-CN"/>
              </w:rPr>
            </w:pPr>
            <w:r>
              <w:rPr>
                <w:rFonts w:hint="eastAsia" w:ascii="宋体" w:hAnsi="宋体"/>
                <w:kern w:val="0"/>
                <w:sz w:val="24"/>
                <w:szCs w:val="22"/>
                <w:lang w:val="zh-CN" w:bidi="zh-CN"/>
              </w:rPr>
              <w:t>我国正深入实施“数字中国”战略，广西壮族自治区也明确提出建设“数字广西”与面向东盟的“数字丝绸之路”。据相关规划，区内数字经济规模持续扩大，既懂经济管理又掌握数字技术的复合型人才缺口巨大。</w:t>
            </w:r>
          </w:p>
          <w:p>
            <w:pPr>
              <w:autoSpaceDE w:val="0"/>
              <w:autoSpaceDN w:val="0"/>
              <w:spacing w:before="112" w:line="276" w:lineRule="auto"/>
              <w:ind w:left="107"/>
              <w:rPr>
                <w:rFonts w:hint="eastAsia" w:ascii="宋体" w:hAnsi="宋体"/>
                <w:b/>
                <w:bCs/>
                <w:kern w:val="0"/>
                <w:sz w:val="24"/>
                <w:szCs w:val="22"/>
                <w:lang w:val="zh-CN" w:bidi="zh-CN"/>
              </w:rPr>
            </w:pPr>
            <w:r>
              <w:rPr>
                <w:rFonts w:hint="eastAsia" w:ascii="宋体" w:hAnsi="宋体"/>
                <w:b/>
                <w:bCs/>
                <w:kern w:val="0"/>
                <w:sz w:val="24"/>
                <w:szCs w:val="22"/>
                <w:lang w:val="zh-CN" w:bidi="zh-CN"/>
              </w:rPr>
              <w:t>二、办学基础雄厚，建设条件成熟</w:t>
            </w:r>
          </w:p>
          <w:p>
            <w:pPr>
              <w:autoSpaceDE w:val="0"/>
              <w:autoSpaceDN w:val="0"/>
              <w:spacing w:before="112" w:line="276" w:lineRule="auto"/>
              <w:ind w:left="107" w:firstLine="480" w:firstLineChars="200"/>
              <w:rPr>
                <w:rFonts w:hint="eastAsia" w:ascii="宋体" w:hAnsi="宋体"/>
                <w:kern w:val="0"/>
                <w:sz w:val="24"/>
                <w:szCs w:val="22"/>
                <w:lang w:val="zh-CN" w:bidi="zh-CN"/>
              </w:rPr>
            </w:pPr>
            <w:r>
              <w:rPr>
                <w:rFonts w:hint="eastAsia" w:ascii="宋体" w:hAnsi="宋体"/>
                <w:kern w:val="0"/>
                <w:sz w:val="24"/>
                <w:szCs w:val="22"/>
                <w:lang w:val="zh-CN" w:bidi="zh-CN"/>
              </w:rPr>
              <w:t>学科平台优势：学校已充分具备开设</w:t>
            </w:r>
            <w:r>
              <w:rPr>
                <w:rFonts w:hint="eastAsia" w:ascii="宋体" w:hAnsi="宋体"/>
                <w:kern w:val="0"/>
                <w:sz w:val="24"/>
                <w:szCs w:val="22"/>
                <w:lang w:bidi="zh-CN"/>
              </w:rPr>
              <w:t>数字经济</w:t>
            </w:r>
            <w:r>
              <w:rPr>
                <w:rFonts w:hint="eastAsia" w:ascii="宋体" w:hAnsi="宋体"/>
                <w:kern w:val="0"/>
                <w:sz w:val="24"/>
                <w:szCs w:val="22"/>
                <w:lang w:val="zh-CN" w:bidi="zh-CN"/>
              </w:rPr>
              <w:t>专业的办学基础，科教平台较高。学院已建设有广西高校数字赋能经济发展重点实验室、广西数字经济研究院等科研平台，为教学科研提供了强力支撑。办学经验丰富：学院成功主办了</w:t>
            </w:r>
            <w:bookmarkStart w:id="144" w:name="OLE_LINK14"/>
            <w:r>
              <w:rPr>
                <w:rFonts w:hint="eastAsia" w:ascii="宋体" w:hAnsi="宋体"/>
                <w:kern w:val="0"/>
                <w:sz w:val="24"/>
                <w:szCs w:val="22"/>
                <w:lang w:val="zh-CN" w:bidi="zh-CN"/>
              </w:rPr>
              <w:t>第二届全国数字经济学科专业建设联盟会议</w:t>
            </w:r>
            <w:bookmarkEnd w:id="144"/>
            <w:r>
              <w:rPr>
                <w:rFonts w:hint="eastAsia" w:ascii="宋体" w:hAnsi="宋体"/>
                <w:kern w:val="0"/>
                <w:sz w:val="24"/>
                <w:szCs w:val="22"/>
                <w:lang w:val="zh-CN" w:bidi="zh-CN"/>
              </w:rPr>
              <w:t>，汇聚全国专家共议培养方案，已形成成熟的课程体系与教学模式。师资与资源：依托学院在经济学、金融学等专业的长期积累，拥有一支跨学科的一流师资队伍和多元的实习实践基地。</w:t>
            </w:r>
          </w:p>
          <w:p>
            <w:pPr>
              <w:autoSpaceDE w:val="0"/>
              <w:autoSpaceDN w:val="0"/>
              <w:spacing w:before="112" w:line="276" w:lineRule="auto"/>
              <w:ind w:left="107"/>
              <w:rPr>
                <w:rFonts w:hint="eastAsia" w:ascii="宋体" w:hAnsi="宋体"/>
                <w:b/>
                <w:bCs/>
                <w:kern w:val="0"/>
                <w:sz w:val="24"/>
                <w:szCs w:val="22"/>
                <w:lang w:val="zh-CN" w:bidi="zh-CN"/>
              </w:rPr>
            </w:pPr>
            <w:r>
              <w:rPr>
                <w:rFonts w:hint="eastAsia" w:ascii="宋体" w:hAnsi="宋体"/>
                <w:b/>
                <w:bCs/>
                <w:kern w:val="0"/>
                <w:sz w:val="24"/>
                <w:szCs w:val="22"/>
                <w:lang w:val="zh-CN" w:bidi="zh-CN"/>
              </w:rPr>
              <w:t>三、培养前景广阔，就业出口乐观</w:t>
            </w:r>
          </w:p>
          <w:p>
            <w:pPr>
              <w:autoSpaceDE w:val="0"/>
              <w:autoSpaceDN w:val="0"/>
              <w:spacing w:before="112" w:line="276" w:lineRule="auto"/>
              <w:ind w:left="107" w:firstLine="480" w:firstLineChars="200"/>
              <w:rPr>
                <w:rFonts w:hint="eastAsia" w:ascii="宋体" w:hAnsi="宋体"/>
                <w:kern w:val="0"/>
                <w:sz w:val="24"/>
                <w:szCs w:val="22"/>
                <w:lang w:val="zh-CN" w:bidi="zh-CN"/>
              </w:rPr>
            </w:pPr>
            <w:r>
              <w:rPr>
                <w:rFonts w:hint="eastAsia" w:ascii="宋体" w:hAnsi="宋体"/>
                <w:kern w:val="0"/>
                <w:sz w:val="24"/>
                <w:szCs w:val="22"/>
                <w:lang w:val="zh-CN" w:bidi="zh-CN"/>
              </w:rPr>
              <w:t>该专业旨在培养能在政府数据管理部门、金融机构、跨境电商企业及产业园区从事数据分析、数字化运营与治理的高素质人才。毕业生升学率与就业率均有良好预期，发展空间巨大。</w:t>
            </w:r>
          </w:p>
          <w:p>
            <w:pPr>
              <w:autoSpaceDE w:val="0"/>
              <w:autoSpaceDN w:val="0"/>
              <w:spacing w:before="112" w:line="276" w:lineRule="auto"/>
              <w:ind w:left="107" w:firstLine="480" w:firstLineChars="200"/>
              <w:rPr>
                <w:rFonts w:hint="eastAsia" w:ascii="宋体" w:hAnsi="宋体"/>
                <w:kern w:val="0"/>
                <w:sz w:val="24"/>
                <w:szCs w:val="22"/>
                <w:lang w:val="zh-CN" w:bidi="zh-CN"/>
              </w:rPr>
            </w:pPr>
            <w:r>
              <w:rPr>
                <w:rFonts w:hint="eastAsia" w:ascii="宋体" w:hAnsi="宋体"/>
                <w:kern w:val="0"/>
                <w:sz w:val="24"/>
                <w:szCs w:val="22"/>
                <w:lang w:bidi="zh-CN"/>
              </w:rPr>
              <w:t>校内专业设置评议专家</w:t>
            </w:r>
            <w:r>
              <w:rPr>
                <w:rFonts w:ascii="宋体" w:hAnsi="宋体"/>
                <w:kern w:val="0"/>
                <w:sz w:val="24"/>
                <w:szCs w:val="22"/>
                <w:lang w:val="zh-CN" w:bidi="zh-CN"/>
              </w:rPr>
              <w:t>一致同意设置</w:t>
            </w:r>
            <w:r>
              <w:rPr>
                <w:rFonts w:hint="eastAsia" w:ascii="宋体" w:hAnsi="宋体"/>
                <w:kern w:val="0"/>
                <w:sz w:val="24"/>
                <w:szCs w:val="22"/>
                <w:lang w:val="zh-CN" w:bidi="zh-CN"/>
              </w:rPr>
              <w:t>数字经济本科</w:t>
            </w:r>
            <w:r>
              <w:rPr>
                <w:rFonts w:ascii="宋体" w:hAnsi="宋体"/>
                <w:kern w:val="0"/>
                <w:sz w:val="24"/>
                <w:szCs w:val="22"/>
                <w:lang w:val="zh-CN" w:bidi="zh-CN"/>
              </w:rPr>
              <w:t>专业。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jc w:val="center"/>
        </w:trPr>
        <w:tc>
          <w:tcPr>
            <w:tcW w:w="6913" w:type="dxa"/>
            <w:gridSpan w:val="2"/>
            <w:vAlign w:val="center"/>
          </w:tcPr>
          <w:p>
            <w:pPr>
              <w:autoSpaceDE w:val="0"/>
              <w:autoSpaceDN w:val="0"/>
              <w:jc w:val="center"/>
              <w:rPr>
                <w:rFonts w:hint="eastAsia" w:ascii="宋体" w:hAnsi="宋体"/>
                <w:kern w:val="0"/>
                <w:sz w:val="24"/>
                <w:szCs w:val="22"/>
                <w:lang w:val="zh-CN" w:bidi="zh-CN"/>
              </w:rPr>
            </w:pPr>
            <w:r>
              <w:rPr>
                <w:rFonts w:ascii="宋体" w:hAnsi="宋体"/>
                <w:kern w:val="0"/>
                <w:sz w:val="24"/>
                <w:szCs w:val="22"/>
                <w:lang w:val="zh-CN" w:bidi="zh-CN"/>
              </w:rPr>
              <w:t>拟招生人数与人才需求预测是否匹配</w:t>
            </w:r>
          </w:p>
        </w:tc>
        <w:tc>
          <w:tcPr>
            <w:tcW w:w="2190" w:type="dxa"/>
            <w:vAlign w:val="center"/>
          </w:tcPr>
          <w:p>
            <w:pPr>
              <w:autoSpaceDE w:val="0"/>
              <w:autoSpaceDN w:val="0"/>
              <w:jc w:val="center"/>
              <w:rPr>
                <w:rFonts w:hint="eastAsia" w:ascii="宋体" w:hAnsi="宋体"/>
                <w:kern w:val="0"/>
                <w:sz w:val="24"/>
                <w:szCs w:val="22"/>
                <w:lang w:val="zh-CN" w:bidi="zh-CN"/>
              </w:rPr>
            </w:pPr>
            <w:r>
              <w:rPr>
                <w:rFonts w:ascii="Segoe UI Symbol" w:hAnsi="Segoe UI Symbol" w:cs="Segoe UI Symbol"/>
                <w:kern w:val="0"/>
                <w:sz w:val="24"/>
                <w:szCs w:val="22"/>
                <w:lang w:val="zh-CN" w:bidi="zh-CN"/>
              </w:rPr>
              <w:t>☑</w:t>
            </w:r>
            <w:r>
              <w:rPr>
                <w:rFonts w:hint="eastAsia" w:ascii="宋体" w:hAnsi="宋体"/>
                <w:kern w:val="0"/>
                <w:sz w:val="24"/>
                <w:szCs w:val="22"/>
                <w:lang w:val="zh-CN" w:bidi="zh-CN"/>
              </w:rPr>
              <w:t>是</w:t>
            </w:r>
            <w:r>
              <w:rPr>
                <w:rFonts w:hint="eastAsia" w:ascii="宋体" w:hAnsi="宋体"/>
                <w:kern w:val="0"/>
                <w:sz w:val="24"/>
                <w:szCs w:val="22"/>
                <w:lang w:val="zh-CN" w:bidi="zh-CN"/>
              </w:rPr>
              <w:tab/>
            </w:r>
            <w:r>
              <w:rPr>
                <w:rFonts w:hint="eastAsia" w:ascii="宋体" w:hAnsi="宋体"/>
                <w:kern w:val="0"/>
                <w:sz w:val="24"/>
                <w:szCs w:val="22"/>
                <w:lang w:val="zh-CN" w:bidi="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8" w:hRule="atLeast"/>
          <w:jc w:val="center"/>
        </w:trPr>
        <w:tc>
          <w:tcPr>
            <w:tcW w:w="3454" w:type="dxa"/>
            <w:vMerge w:val="restart"/>
            <w:vAlign w:val="center"/>
          </w:tcPr>
          <w:p>
            <w:pPr>
              <w:autoSpaceDE w:val="0"/>
              <w:autoSpaceDN w:val="0"/>
              <w:jc w:val="center"/>
              <w:rPr>
                <w:rFonts w:hint="eastAsia" w:ascii="宋体" w:hAnsi="宋体"/>
                <w:kern w:val="0"/>
                <w:sz w:val="24"/>
                <w:szCs w:val="22"/>
                <w:lang w:val="zh-CN" w:bidi="zh-CN"/>
              </w:rPr>
            </w:pPr>
            <w:r>
              <w:rPr>
                <w:rFonts w:ascii="宋体" w:hAnsi="宋体"/>
                <w:kern w:val="0"/>
                <w:sz w:val="24"/>
                <w:szCs w:val="22"/>
                <w:lang w:val="zh-CN" w:bidi="zh-CN"/>
              </w:rPr>
              <w:t>本专业开设的基本条件是否符合教学质量国家标准</w:t>
            </w:r>
          </w:p>
        </w:tc>
        <w:tc>
          <w:tcPr>
            <w:tcW w:w="3459" w:type="dxa"/>
            <w:vAlign w:val="center"/>
          </w:tcPr>
          <w:p>
            <w:pPr>
              <w:autoSpaceDE w:val="0"/>
              <w:autoSpaceDN w:val="0"/>
              <w:jc w:val="center"/>
              <w:rPr>
                <w:rFonts w:hint="eastAsia" w:ascii="宋体" w:hAnsi="宋体"/>
                <w:kern w:val="0"/>
                <w:sz w:val="24"/>
                <w:szCs w:val="22"/>
                <w:lang w:val="zh-CN" w:bidi="zh-CN"/>
              </w:rPr>
            </w:pPr>
            <w:r>
              <w:rPr>
                <w:rFonts w:ascii="宋体" w:hAnsi="宋体"/>
                <w:kern w:val="0"/>
                <w:sz w:val="24"/>
                <w:szCs w:val="22"/>
                <w:lang w:val="zh-CN" w:bidi="zh-CN"/>
              </w:rPr>
              <w:t>教师队伍</w:t>
            </w:r>
          </w:p>
        </w:tc>
        <w:tc>
          <w:tcPr>
            <w:tcW w:w="2190" w:type="dxa"/>
          </w:tcPr>
          <w:p>
            <w:pPr>
              <w:autoSpaceDE w:val="0"/>
              <w:autoSpaceDN w:val="0"/>
              <w:jc w:val="center"/>
              <w:rPr>
                <w:rFonts w:hint="eastAsia" w:ascii="宋体" w:hAnsi="宋体"/>
                <w:kern w:val="0"/>
                <w:sz w:val="24"/>
                <w:szCs w:val="22"/>
                <w:lang w:val="zh-CN" w:bidi="zh-CN"/>
              </w:rPr>
            </w:pPr>
            <w:r>
              <w:rPr>
                <w:rFonts w:ascii="Segoe UI Symbol" w:hAnsi="Segoe UI Symbol" w:cs="Segoe UI Symbol"/>
                <w:kern w:val="0"/>
                <w:sz w:val="24"/>
                <w:szCs w:val="22"/>
                <w:lang w:val="zh-CN" w:bidi="zh-CN"/>
              </w:rPr>
              <w:t>☑</w:t>
            </w:r>
            <w:r>
              <w:rPr>
                <w:rFonts w:hint="eastAsia" w:ascii="宋体" w:hAnsi="宋体"/>
                <w:kern w:val="0"/>
                <w:sz w:val="24"/>
                <w:szCs w:val="22"/>
                <w:lang w:val="zh-CN" w:bidi="zh-CN"/>
              </w:rPr>
              <w:t>是</w:t>
            </w:r>
            <w:r>
              <w:rPr>
                <w:rFonts w:hint="eastAsia" w:ascii="宋体" w:hAnsi="宋体"/>
                <w:kern w:val="0"/>
                <w:sz w:val="24"/>
                <w:szCs w:val="22"/>
                <w:lang w:val="zh-CN" w:bidi="zh-CN"/>
              </w:rPr>
              <w:tab/>
            </w:r>
            <w:r>
              <w:rPr>
                <w:rFonts w:hint="eastAsia" w:ascii="宋体" w:hAnsi="宋体"/>
                <w:kern w:val="0"/>
                <w:sz w:val="24"/>
                <w:szCs w:val="22"/>
                <w:lang w:val="zh-CN" w:bidi="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3454" w:type="dxa"/>
            <w:vMerge w:val="continue"/>
            <w:tcBorders>
              <w:top w:val="nil"/>
            </w:tcBorders>
            <w:vAlign w:val="center"/>
          </w:tcPr>
          <w:p>
            <w:pPr>
              <w:autoSpaceDE w:val="0"/>
              <w:autoSpaceDN w:val="0"/>
              <w:jc w:val="center"/>
              <w:rPr>
                <w:rFonts w:hint="eastAsia" w:ascii="宋体" w:hAnsi="宋体"/>
                <w:kern w:val="0"/>
                <w:sz w:val="24"/>
                <w:szCs w:val="22"/>
                <w:lang w:val="zh-CN" w:bidi="zh-CN"/>
              </w:rPr>
            </w:pPr>
          </w:p>
        </w:tc>
        <w:tc>
          <w:tcPr>
            <w:tcW w:w="3459" w:type="dxa"/>
            <w:vAlign w:val="center"/>
          </w:tcPr>
          <w:p>
            <w:pPr>
              <w:autoSpaceDE w:val="0"/>
              <w:autoSpaceDN w:val="0"/>
              <w:jc w:val="center"/>
              <w:rPr>
                <w:rFonts w:hint="eastAsia" w:ascii="宋体" w:hAnsi="宋体"/>
                <w:kern w:val="0"/>
                <w:sz w:val="24"/>
                <w:szCs w:val="22"/>
                <w:lang w:val="zh-CN" w:bidi="zh-CN"/>
              </w:rPr>
            </w:pPr>
            <w:r>
              <w:rPr>
                <w:rFonts w:ascii="宋体" w:hAnsi="宋体"/>
                <w:kern w:val="0"/>
                <w:sz w:val="24"/>
                <w:szCs w:val="22"/>
                <w:lang w:val="zh-CN" w:bidi="zh-CN"/>
              </w:rPr>
              <w:t>实践条件</w:t>
            </w:r>
          </w:p>
        </w:tc>
        <w:tc>
          <w:tcPr>
            <w:tcW w:w="2190" w:type="dxa"/>
          </w:tcPr>
          <w:p>
            <w:pPr>
              <w:autoSpaceDE w:val="0"/>
              <w:autoSpaceDN w:val="0"/>
              <w:jc w:val="center"/>
              <w:rPr>
                <w:rFonts w:hint="eastAsia" w:ascii="宋体" w:hAnsi="宋体"/>
                <w:kern w:val="0"/>
                <w:sz w:val="24"/>
                <w:szCs w:val="22"/>
                <w:lang w:val="zh-CN" w:bidi="zh-CN"/>
              </w:rPr>
            </w:pPr>
            <w:r>
              <w:rPr>
                <w:rFonts w:ascii="Segoe UI Symbol" w:hAnsi="Segoe UI Symbol" w:cs="Segoe UI Symbol"/>
                <w:kern w:val="0"/>
                <w:sz w:val="24"/>
                <w:szCs w:val="22"/>
                <w:lang w:val="zh-CN" w:bidi="zh-CN"/>
              </w:rPr>
              <w:t>☑</w:t>
            </w:r>
            <w:r>
              <w:rPr>
                <w:rFonts w:hint="eastAsia" w:ascii="宋体" w:hAnsi="宋体"/>
                <w:kern w:val="0"/>
                <w:sz w:val="24"/>
                <w:szCs w:val="22"/>
                <w:lang w:val="zh-CN" w:bidi="zh-CN"/>
              </w:rPr>
              <w:t>是</w:t>
            </w:r>
            <w:r>
              <w:rPr>
                <w:rFonts w:hint="eastAsia" w:ascii="宋体" w:hAnsi="宋体"/>
                <w:kern w:val="0"/>
                <w:sz w:val="24"/>
                <w:szCs w:val="22"/>
                <w:lang w:val="zh-CN" w:bidi="zh-CN"/>
              </w:rPr>
              <w:tab/>
            </w:r>
            <w:r>
              <w:rPr>
                <w:rFonts w:hint="eastAsia" w:ascii="宋体" w:hAnsi="宋体"/>
                <w:kern w:val="0"/>
                <w:sz w:val="24"/>
                <w:szCs w:val="22"/>
                <w:lang w:val="zh-CN" w:bidi="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 w:hRule="atLeast"/>
          <w:jc w:val="center"/>
        </w:trPr>
        <w:tc>
          <w:tcPr>
            <w:tcW w:w="3454" w:type="dxa"/>
            <w:vMerge w:val="continue"/>
            <w:tcBorders>
              <w:top w:val="nil"/>
            </w:tcBorders>
            <w:vAlign w:val="center"/>
          </w:tcPr>
          <w:p>
            <w:pPr>
              <w:autoSpaceDE w:val="0"/>
              <w:autoSpaceDN w:val="0"/>
              <w:jc w:val="center"/>
              <w:rPr>
                <w:rFonts w:hint="eastAsia" w:ascii="宋体" w:hAnsi="宋体"/>
                <w:kern w:val="0"/>
                <w:sz w:val="24"/>
                <w:szCs w:val="22"/>
                <w:lang w:val="zh-CN" w:bidi="zh-CN"/>
              </w:rPr>
            </w:pPr>
          </w:p>
        </w:tc>
        <w:tc>
          <w:tcPr>
            <w:tcW w:w="3459" w:type="dxa"/>
            <w:vAlign w:val="center"/>
          </w:tcPr>
          <w:p>
            <w:pPr>
              <w:autoSpaceDE w:val="0"/>
              <w:autoSpaceDN w:val="0"/>
              <w:jc w:val="center"/>
              <w:rPr>
                <w:rFonts w:hint="eastAsia" w:ascii="宋体" w:hAnsi="宋体"/>
                <w:kern w:val="0"/>
                <w:sz w:val="24"/>
                <w:szCs w:val="22"/>
                <w:lang w:val="zh-CN" w:bidi="zh-CN"/>
              </w:rPr>
            </w:pPr>
            <w:r>
              <w:rPr>
                <w:rFonts w:ascii="宋体" w:hAnsi="宋体"/>
                <w:kern w:val="0"/>
                <w:sz w:val="24"/>
                <w:szCs w:val="22"/>
                <w:lang w:val="zh-CN" w:bidi="zh-CN"/>
              </w:rPr>
              <w:t>经费保障</w:t>
            </w:r>
          </w:p>
        </w:tc>
        <w:tc>
          <w:tcPr>
            <w:tcW w:w="2190" w:type="dxa"/>
          </w:tcPr>
          <w:p>
            <w:pPr>
              <w:autoSpaceDE w:val="0"/>
              <w:autoSpaceDN w:val="0"/>
              <w:jc w:val="center"/>
              <w:rPr>
                <w:rFonts w:hint="eastAsia" w:ascii="宋体" w:hAnsi="宋体"/>
                <w:kern w:val="0"/>
                <w:sz w:val="24"/>
                <w:szCs w:val="22"/>
                <w:lang w:val="zh-CN" w:bidi="zh-CN"/>
              </w:rPr>
            </w:pPr>
            <w:r>
              <w:rPr>
                <w:rFonts w:ascii="Segoe UI Symbol" w:hAnsi="Segoe UI Symbol" w:cs="Segoe UI Symbol"/>
                <w:kern w:val="0"/>
                <w:sz w:val="24"/>
                <w:szCs w:val="22"/>
                <w:lang w:val="zh-CN" w:bidi="zh-CN"/>
              </w:rPr>
              <w:t>☑</w:t>
            </w:r>
            <w:r>
              <w:rPr>
                <w:rFonts w:hint="eastAsia" w:ascii="宋体" w:hAnsi="宋体"/>
                <w:kern w:val="0"/>
                <w:sz w:val="24"/>
                <w:szCs w:val="22"/>
                <w:lang w:val="zh-CN" w:bidi="zh-CN"/>
              </w:rPr>
              <w:t>是</w:t>
            </w:r>
            <w:r>
              <w:rPr>
                <w:rFonts w:hint="eastAsia" w:ascii="宋体" w:hAnsi="宋体"/>
                <w:kern w:val="0"/>
                <w:sz w:val="24"/>
                <w:szCs w:val="22"/>
                <w:lang w:val="zh-CN" w:bidi="zh-CN"/>
              </w:rPr>
              <w:tab/>
            </w:r>
            <w:r>
              <w:rPr>
                <w:rFonts w:hint="eastAsia" w:ascii="宋体" w:hAnsi="宋体"/>
                <w:kern w:val="0"/>
                <w:sz w:val="24"/>
                <w:szCs w:val="22"/>
                <w:lang w:val="zh-CN" w:bidi="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9" w:hRule="atLeast"/>
          <w:jc w:val="center"/>
        </w:trPr>
        <w:tc>
          <w:tcPr>
            <w:tcW w:w="9103" w:type="dxa"/>
            <w:gridSpan w:val="3"/>
          </w:tcPr>
          <w:p>
            <w:pPr>
              <w:autoSpaceDE w:val="0"/>
              <w:autoSpaceDN w:val="0"/>
              <w:spacing w:line="362" w:lineRule="exact"/>
              <w:ind w:left="107"/>
              <w:jc w:val="left"/>
              <w:rPr>
                <w:rFonts w:hint="eastAsia" w:ascii="宋体" w:hAnsi="宋体"/>
                <w:kern w:val="0"/>
                <w:sz w:val="24"/>
                <w:szCs w:val="22"/>
                <w:lang w:val="zh-CN" w:bidi="zh-CN"/>
              </w:rPr>
            </w:pPr>
            <w:r>
              <w:rPr>
                <w:rFonts w:ascii="宋体" w:hAnsi="宋体"/>
                <w:kern w:val="0"/>
                <w:sz w:val="24"/>
                <w:szCs w:val="22"/>
                <w:lang w:val="zh-CN" w:bidi="zh-CN"/>
              </w:rPr>
              <w:t>专家签字：</w:t>
            </w:r>
          </w:p>
          <w:p>
            <w:pPr>
              <w:autoSpaceDE w:val="0"/>
              <w:autoSpaceDN w:val="0"/>
              <w:ind w:left="107" w:firstLine="1205" w:firstLineChars="500"/>
              <w:jc w:val="left"/>
              <w:rPr>
                <w:rFonts w:hint="eastAsia" w:ascii="宋体" w:hAnsi="宋体"/>
                <w:b/>
                <w:kern w:val="0"/>
                <w:sz w:val="24"/>
                <w:szCs w:val="22"/>
                <w:lang w:bidi="zh-CN"/>
              </w:rPr>
            </w:pPr>
            <w:r>
              <w:rPr>
                <w:rFonts w:hint="eastAsia" w:ascii="宋体" w:hAnsi="宋体"/>
                <w:b/>
                <w:kern w:val="0"/>
                <w:sz w:val="24"/>
                <w:szCs w:val="22"/>
                <w:lang w:val="zh-CN" w:bidi="zh-CN"/>
              </w:rPr>
              <w:drawing>
                <wp:inline distT="0" distB="0" distL="114300" distR="114300">
                  <wp:extent cx="4290695" cy="1315085"/>
                  <wp:effectExtent l="0" t="0" r="6985" b="10795"/>
                  <wp:docPr id="5" name="图片 5" descr="8b523308290fc11196d0aec626a506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8b523308290fc11196d0aec626a506ab"/>
                          <pic:cNvPicPr>
                            <a:picLocks noChangeAspect="1"/>
                          </pic:cNvPicPr>
                        </pic:nvPicPr>
                        <pic:blipFill>
                          <a:blip r:embed="rId23"/>
                          <a:stretch>
                            <a:fillRect/>
                          </a:stretch>
                        </pic:blipFill>
                        <pic:spPr>
                          <a:xfrm>
                            <a:off x="0" y="0"/>
                            <a:ext cx="4290695" cy="1315085"/>
                          </a:xfrm>
                          <a:prstGeom prst="rect">
                            <a:avLst/>
                          </a:prstGeom>
                        </pic:spPr>
                      </pic:pic>
                    </a:graphicData>
                  </a:graphic>
                </wp:inline>
              </w:drawing>
            </w:r>
          </w:p>
        </w:tc>
      </w:tr>
    </w:tbl>
    <w:p>
      <w:pPr>
        <w:rPr>
          <w:rFonts w:hint="eastAsia" w:ascii="仿宋" w:hAnsi="仿宋" w:eastAsia="仿宋" w:cs="仿宋"/>
          <w:sz w:val="32"/>
          <w:szCs w:val="32"/>
        </w:rPr>
      </w:pPr>
    </w:p>
    <w:sectPr>
      <w:headerReference r:id="rId15" w:type="default"/>
      <w:footerReference r:id="rId16" w:type="default"/>
      <w:footnotePr>
        <w:numFmt w:val="decimalEnclosedCircleChinese"/>
        <w:numRestart w:val="eachPage"/>
      </w:footnote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1B211D3-5158-4A06-945A-2B26C0A8388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F104EB8A-2C90-48BE-AE44-D7BF33B493C4}"/>
  </w:font>
  <w:font w:name="Cambria">
    <w:panose1 w:val="02040503050406030204"/>
    <w:charset w:val="00"/>
    <w:family w:val="roman"/>
    <w:pitch w:val="default"/>
    <w:sig w:usb0="E00006FF" w:usb1="420024FF" w:usb2="02000000" w:usb3="00000000" w:csb0="2000019F" w:csb1="00000000"/>
  </w:font>
  <w:font w:name="Courier">
    <w:altName w:val="Courier New"/>
    <w:panose1 w:val="02070409020205020404"/>
    <w:charset w:val="00"/>
    <w:family w:val="auto"/>
    <w:pitch w:val="default"/>
    <w:sig w:usb0="00000000" w:usb1="00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embedRegular r:id="rId3" w:fontKey="{6B4750AB-2DD0-455B-97D4-E64522C31959}"/>
  </w:font>
  <w:font w:name="楷体">
    <w:panose1 w:val="02010609060101010101"/>
    <w:charset w:val="86"/>
    <w:family w:val="modern"/>
    <w:pitch w:val="default"/>
    <w:sig w:usb0="800002BF" w:usb1="38CF7CFA" w:usb2="00000016" w:usb3="00000000" w:csb0="00040001" w:csb1="00000000"/>
    <w:embedRegular r:id="rId4" w:fontKey="{7DBF0CEC-8F31-454F-A08F-9C8D5E3EB520}"/>
  </w:font>
  <w:font w:name="仿宋">
    <w:panose1 w:val="02010609060101010101"/>
    <w:charset w:val="86"/>
    <w:family w:val="modern"/>
    <w:pitch w:val="default"/>
    <w:sig w:usb0="800002BF" w:usb1="38CF7CFA" w:usb2="00000016" w:usb3="00000000" w:csb0="00040001" w:csb1="00000000"/>
    <w:embedRegular r:id="rId5" w:fontKey="{95352AC4-8596-4FFC-BDEE-7ECEF3DA3802}"/>
  </w:font>
  <w:font w:name="仿宋_GB2312">
    <w:panose1 w:val="02010609030101010101"/>
    <w:charset w:val="86"/>
    <w:family w:val="modern"/>
    <w:pitch w:val="default"/>
    <w:sig w:usb0="00000001" w:usb1="080E0000" w:usb2="00000000" w:usb3="00000000" w:csb0="00040000" w:csb1="00000000"/>
    <w:embedRegular r:id="rId6" w:fontKey="{E242AA37-8E38-4B74-9588-D8A5E9F505D0}"/>
  </w:font>
  <w:font w:name="Segoe UI Symbol">
    <w:panose1 w:val="020B0502040204020203"/>
    <w:charset w:val="00"/>
    <w:family w:val="swiss"/>
    <w:pitch w:val="default"/>
    <w:sig w:usb0="800001E3" w:usb1="1200FFEF" w:usb2="00040000" w:usb3="04000000" w:csb0="00000001" w:csb1="40000000"/>
    <w:embedRegular r:id="rId7" w:fontKey="{F8BEDBB2-DC0E-4A78-9C04-6D0E86A24F96}"/>
  </w:font>
  <w:font w:name="华文新魏">
    <w:panose1 w:val="02010800040101010101"/>
    <w:charset w:val="86"/>
    <w:family w:val="auto"/>
    <w:pitch w:val="default"/>
    <w:sig w:usb0="00000001" w:usb1="080F0000" w:usb2="00000000" w:usb3="00000000" w:csb0="00040000" w:csb1="00000000"/>
    <w:embedRegular r:id="rId8" w:fontKey="{494D7D25-453F-4112-950F-E77DC1016CA0}"/>
  </w:font>
  <w:font w:name="微软雅黑">
    <w:panose1 w:val="020B0503020204020204"/>
    <w:charset w:val="86"/>
    <w:family w:val="swiss"/>
    <w:pitch w:val="default"/>
    <w:sig w:usb0="80000287" w:usb1="2ACF3C50" w:usb2="00000016" w:usb3="00000000" w:csb0="0004001F" w:csb1="00000000"/>
    <w:embedRegular r:id="rId9" w:fontKey="{EC5B27B2-E568-49B8-BEDE-CE15FD2900B0}"/>
  </w:font>
  <w:font w:name="等线">
    <w:panose1 w:val="02010600030101010101"/>
    <w:charset w:val="86"/>
    <w:family w:val="auto"/>
    <w:pitch w:val="default"/>
    <w:sig w:usb0="A00002BF" w:usb1="38CF7CFA" w:usb2="00000016" w:usb3="00000000" w:csb0="0004000F" w:csb1="00000000"/>
    <w:embedRegular r:id="rId10" w:fontKey="{1C720B81-DD67-4D84-B9BB-BEA413FF277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ind w:right="360"/>
    </w:pPr>
  </w:p>
  <w:p>
    <w:pPr>
      <w:pStyle w:val="27"/>
      <w:adjustRightInd w:val="0"/>
      <w:ind w:right="210" w:rightChars="100"/>
      <w:rPr>
        <w:rFonts w:hint="eastAsia" w:ascii="宋体" w:hAns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ind w:right="360"/>
    </w:pPr>
  </w:p>
  <w:p>
    <w:pPr>
      <w:pStyle w:val="27"/>
      <w:adjustRightInd w:val="0"/>
      <w:ind w:right="210" w:rightChars="100"/>
      <w:rPr>
        <w:rFonts w:hint="eastAsia" w:ascii="宋体" w:hAnsi="宋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50">
    <w:p>
      <w:r>
        <w:separator/>
      </w:r>
    </w:p>
  </w:footnote>
  <w:footnote w:type="continuationSeparator" w:id="51">
    <w:p>
      <w:r>
        <w:continuationSeparator/>
      </w:r>
    </w:p>
  </w:footnote>
  <w:footnote w:id="0">
    <w:p>
      <w:pPr>
        <w:rPr>
          <w:sz w:val="18"/>
          <w:szCs w:val="18"/>
        </w:rPr>
      </w:pPr>
      <w:r>
        <w:rPr>
          <w:sz w:val="18"/>
          <w:szCs w:val="18"/>
          <w:vertAlign w:val="superscript"/>
        </w:rPr>
        <w:footnoteRef/>
      </w:r>
      <w:r>
        <w:rPr>
          <w:sz w:val="18"/>
          <w:szCs w:val="18"/>
          <w:vertAlign w:val="superscript"/>
        </w:rPr>
        <w:t xml:space="preserve"> </w:t>
      </w:r>
      <w:r>
        <w:rPr>
          <w:sz w:val="18"/>
          <w:szCs w:val="18"/>
        </w:rPr>
        <w:t>据中国信息通信研究院《中国数字经济发展研究报告（2025年）》（2026年3月）相关测算和判断，本文据此把握全国数字经济规模、结构与增长趋势。</w:t>
      </w:r>
    </w:p>
  </w:footnote>
  <w:footnote w:id="1">
    <w:p>
      <w:pPr>
        <w:rPr>
          <w:sz w:val="18"/>
          <w:szCs w:val="18"/>
        </w:rPr>
      </w:pPr>
      <w:r>
        <w:rPr>
          <w:sz w:val="18"/>
          <w:szCs w:val="18"/>
          <w:vertAlign w:val="superscript"/>
        </w:rPr>
        <w:footnoteRef/>
      </w:r>
      <w:r>
        <w:rPr>
          <w:sz w:val="18"/>
          <w:szCs w:val="18"/>
        </w:rPr>
        <w:t xml:space="preserve"> 参见国家发展改革委等五部门《关于加强数据要素学科专业建设和数字人才队伍建设的意见》（发改数据〔2025〕1425号，2025年），该文件为数据要素与数字人才培养提供政策依据。</w:t>
      </w:r>
    </w:p>
  </w:footnote>
  <w:footnote w:id="2">
    <w:p>
      <w:r>
        <w:rPr>
          <w:sz w:val="18"/>
          <w:szCs w:val="18"/>
          <w:vertAlign w:val="superscript"/>
        </w:rPr>
        <w:footnoteRef/>
      </w:r>
      <w:r>
        <w:rPr>
          <w:sz w:val="18"/>
          <w:szCs w:val="18"/>
        </w:rPr>
        <w:t xml:space="preserve"> 相关数据综合广西壮族自治区统计局公开统计资料及《广西数字经济发展白皮书（2025年）》整理；不同统计口径可能存在细微差异，本文以官方发布口径为准。</w:t>
      </w:r>
    </w:p>
  </w:footnote>
  <w:footnote w:id="3">
    <w:p>
      <w:pPr>
        <w:rPr>
          <w:sz w:val="18"/>
          <w:szCs w:val="18"/>
        </w:rPr>
      </w:pPr>
      <w:r>
        <w:rPr>
          <w:sz w:val="18"/>
          <w:szCs w:val="18"/>
          <w:vertAlign w:val="superscript"/>
        </w:rPr>
        <w:footnoteRef/>
      </w:r>
      <w:r>
        <w:rPr>
          <w:sz w:val="18"/>
          <w:szCs w:val="18"/>
          <w:vertAlign w:val="superscript"/>
        </w:rPr>
        <w:t xml:space="preserve"> </w:t>
      </w:r>
      <w:r>
        <w:rPr>
          <w:sz w:val="18"/>
          <w:szCs w:val="18"/>
        </w:rPr>
        <w:t>参见广西壮族自治区人力资源和社会保障厅《广西壮族自治区加快数字人才培育支撑数字经济发展实施方案（2025-2027年）》（2025年），该方案明确提出加快数字人才培育。</w:t>
      </w:r>
    </w:p>
  </w:footnote>
  <w:footnote w:id="4">
    <w:p>
      <w:pPr>
        <w:pStyle w:val="32"/>
        <w:snapToGrid/>
        <w:spacing w:line="240" w:lineRule="auto"/>
        <w:rPr>
          <w:lang w:eastAsia="zh-CN"/>
        </w:rPr>
      </w:pPr>
      <w:r>
        <w:rPr>
          <w:vertAlign w:val="superscript"/>
        </w:rPr>
        <w:footnoteRef/>
      </w:r>
      <w:r>
        <w:rPr>
          <w:vertAlign w:val="superscript"/>
          <w:lang w:eastAsia="zh-CN"/>
        </w:rPr>
        <w:t xml:space="preserve"> </w:t>
      </w:r>
      <w:r>
        <w:rPr>
          <w:lang w:eastAsia="zh-CN"/>
        </w:rPr>
        <w:t>参见中国大学排行榜（CNUR）《2025年数字经济专业大学排名及评级结果》，用于辅助观察数字经济专业的全国布局与高校竞争态势。</w:t>
      </w:r>
    </w:p>
  </w:footnote>
  <w:footnote w:id="5">
    <w:p>
      <w:pPr>
        <w:rPr>
          <w:sz w:val="18"/>
          <w:szCs w:val="18"/>
        </w:rPr>
      </w:pPr>
      <w:r>
        <w:rPr>
          <w:sz w:val="18"/>
          <w:szCs w:val="18"/>
          <w:vertAlign w:val="superscript"/>
        </w:rPr>
        <w:footnoteRef/>
      </w:r>
      <w:r>
        <w:rPr>
          <w:sz w:val="18"/>
          <w:szCs w:val="18"/>
        </w:rPr>
        <w:t xml:space="preserve"> 参见国家统计局《数字经济及其核心产业统计分类（2021）》，该分类是本文界定数字经济范围和核心产业构成的重要依据。</w:t>
      </w:r>
    </w:p>
  </w:footnote>
  <w:footnote w:id="6">
    <w:p>
      <w:pPr>
        <w:rPr>
          <w:sz w:val="18"/>
          <w:szCs w:val="18"/>
        </w:rPr>
      </w:pPr>
      <w:r>
        <w:rPr>
          <w:sz w:val="18"/>
          <w:szCs w:val="18"/>
          <w:vertAlign w:val="superscript"/>
        </w:rPr>
        <w:footnoteRef/>
      </w:r>
      <w:r>
        <w:rPr>
          <w:sz w:val="18"/>
          <w:szCs w:val="18"/>
        </w:rPr>
        <w:t xml:space="preserve"> 据中国信息通信研究院《中国数字经济发展研究报告（2025年）》（2026年3月）整理，相关表述用于说明数字经济四化框架与产业结构。</w:t>
      </w:r>
    </w:p>
  </w:footnote>
  <w:footnote w:id="7">
    <w:p>
      <w:pPr>
        <w:rPr>
          <w:sz w:val="18"/>
          <w:szCs w:val="18"/>
        </w:rPr>
      </w:pPr>
      <w:r>
        <w:rPr>
          <w:sz w:val="18"/>
          <w:szCs w:val="18"/>
          <w:vertAlign w:val="superscript"/>
        </w:rPr>
        <w:footnoteRef/>
      </w:r>
      <w:r>
        <w:rPr>
          <w:sz w:val="18"/>
          <w:szCs w:val="18"/>
        </w:rPr>
        <w:t xml:space="preserve"> 参见中国银河证券《CGS-NDI数字经济周报（2026年第12期）：大模型发展呈现路径分化趋势》（2026年4月27日），用于补充人工智能产业动态。</w:t>
      </w:r>
    </w:p>
  </w:footnote>
  <w:footnote w:id="8">
    <w:p>
      <w:pPr>
        <w:rPr>
          <w:sz w:val="18"/>
          <w:szCs w:val="18"/>
        </w:rPr>
      </w:pPr>
      <w:r>
        <w:rPr>
          <w:sz w:val="18"/>
          <w:szCs w:val="18"/>
          <w:vertAlign w:val="superscript"/>
        </w:rPr>
        <w:footnoteRef/>
      </w:r>
      <w:r>
        <w:rPr>
          <w:sz w:val="18"/>
          <w:szCs w:val="18"/>
          <w:vertAlign w:val="superscript"/>
        </w:rPr>
        <w:t xml:space="preserve"> </w:t>
      </w:r>
      <w:r>
        <w:rPr>
          <w:sz w:val="18"/>
          <w:szCs w:val="18"/>
        </w:rPr>
        <w:t>参见广西壮族自治区通信管理局《2024年广西通信业统计公报》（2025年），用于说明广西信息通信基础设施与业务发展情况。</w:t>
      </w:r>
    </w:p>
  </w:footnote>
  <w:footnote w:id="9">
    <w:p>
      <w:pPr>
        <w:rPr>
          <w:sz w:val="18"/>
          <w:szCs w:val="18"/>
        </w:rPr>
      </w:pPr>
      <w:r>
        <w:rPr>
          <w:sz w:val="18"/>
          <w:szCs w:val="18"/>
          <w:vertAlign w:val="superscript"/>
        </w:rPr>
        <w:footnoteRef/>
      </w:r>
      <w:r>
        <w:rPr>
          <w:sz w:val="18"/>
          <w:szCs w:val="18"/>
        </w:rPr>
        <w:t xml:space="preserve"> 参见广西壮族自治区工业和信息化厅《2024年广西软件和信息技术服务业运行情况》（2025年），用于说明广西软件和信息技术服务业增速。</w:t>
      </w:r>
    </w:p>
  </w:footnote>
  <w:footnote w:id="10">
    <w:p>
      <w:pPr>
        <w:rPr>
          <w:sz w:val="18"/>
          <w:szCs w:val="18"/>
        </w:rPr>
      </w:pPr>
      <w:r>
        <w:rPr>
          <w:sz w:val="18"/>
          <w:szCs w:val="18"/>
          <w:vertAlign w:val="superscript"/>
        </w:rPr>
        <w:footnoteRef/>
      </w:r>
      <w:r>
        <w:rPr>
          <w:sz w:val="18"/>
          <w:szCs w:val="18"/>
        </w:rPr>
        <w:t xml:space="preserve"> 据中国信息通信研究院《中国数字经济发展研究报告（2025年）》（2026年3月）及工业和信息化部相关数据整理，用于说明全国软件业和数字产业运行情况。</w:t>
      </w:r>
    </w:p>
  </w:footnote>
  <w:footnote w:id="11">
    <w:p>
      <w:pPr>
        <w:rPr>
          <w:sz w:val="18"/>
          <w:szCs w:val="18"/>
        </w:rPr>
      </w:pPr>
      <w:r>
        <w:rPr>
          <w:sz w:val="18"/>
          <w:szCs w:val="18"/>
          <w:vertAlign w:val="superscript"/>
        </w:rPr>
        <w:footnoteRef/>
      </w:r>
      <w:r>
        <w:rPr>
          <w:sz w:val="18"/>
          <w:szCs w:val="18"/>
        </w:rPr>
        <w:t xml:space="preserve"> 参见广西壮族自治区商务厅《2024年广西跨境电商发展报告》（2025年）及广西壮族自治区农业农村厅《广西数字农业发展报告（2024年）》（2025年），用于说明跨境电商和数字农业场景。</w:t>
      </w:r>
    </w:p>
  </w:footnote>
  <w:footnote w:id="12">
    <w:p>
      <w:pPr>
        <w:rPr>
          <w:sz w:val="18"/>
          <w:szCs w:val="18"/>
        </w:rPr>
      </w:pPr>
      <w:r>
        <w:rPr>
          <w:sz w:val="18"/>
          <w:szCs w:val="18"/>
          <w:vertAlign w:val="superscript"/>
        </w:rPr>
        <w:footnoteRef/>
      </w:r>
      <w:r>
        <w:rPr>
          <w:sz w:val="18"/>
          <w:szCs w:val="18"/>
          <w:vertAlign w:val="superscript"/>
        </w:rPr>
        <w:t xml:space="preserve"> </w:t>
      </w:r>
      <w:r>
        <w:rPr>
          <w:sz w:val="18"/>
          <w:szCs w:val="18"/>
        </w:rPr>
        <w:t>参见中国银河证券《CGS-NDI数字经济周报（2026年第13期）：AI监管新风向》（2026年5月11日），用于补充全球AI治理和监管趋势。</w:t>
      </w:r>
    </w:p>
  </w:footnote>
  <w:footnote w:id="13">
    <w:p>
      <w:r>
        <w:rPr>
          <w:sz w:val="18"/>
          <w:szCs w:val="18"/>
          <w:vertAlign w:val="superscript"/>
        </w:rPr>
        <w:footnoteRef/>
      </w:r>
      <w:r>
        <w:rPr>
          <w:sz w:val="18"/>
          <w:szCs w:val="18"/>
        </w:rPr>
        <w:t xml:space="preserve"> 参见人力资源和社会保障部等《中国数字经济人才发展报告（2025）》（2025年），用于测算全国数字经济人才供需缺口。</w:t>
      </w:r>
    </w:p>
  </w:footnote>
  <w:footnote w:id="14">
    <w:p>
      <w:pPr>
        <w:spacing w:line="240" w:lineRule="exact"/>
        <w:ind w:firstLine="480"/>
        <w:rPr>
          <w:sz w:val="18"/>
          <w:szCs w:val="18"/>
        </w:rPr>
      </w:pPr>
      <w:r>
        <w:rPr>
          <w:sz w:val="18"/>
          <w:szCs w:val="18"/>
          <w:vertAlign w:val="superscript"/>
        </w:rPr>
        <w:footnoteRef/>
      </w:r>
      <w:r>
        <w:rPr>
          <w:sz w:val="18"/>
          <w:szCs w:val="18"/>
          <w:vertAlign w:val="superscript"/>
        </w:rPr>
        <w:t xml:space="preserve"> </w:t>
      </w:r>
      <w:r>
        <w:rPr>
          <w:sz w:val="18"/>
          <w:szCs w:val="18"/>
        </w:rPr>
        <w:t>参见广西壮族自治区人民政府《广西促进数字经济发展三年行动方案（2024-2026年）》（桂数发〔2024〕17号，2024年）及广西信息中心《广西数字经济发展评估报告（2025年）》，用于说明广西政策目标和区域发展指标。</w:t>
      </w:r>
    </w:p>
  </w:footnote>
  <w:footnote w:id="15">
    <w:p>
      <w:pPr>
        <w:rPr>
          <w:sz w:val="18"/>
          <w:szCs w:val="18"/>
        </w:rPr>
      </w:pPr>
      <w:r>
        <w:rPr>
          <w:sz w:val="18"/>
          <w:szCs w:val="18"/>
          <w:vertAlign w:val="superscript"/>
        </w:rPr>
        <w:footnoteRef/>
      </w:r>
      <w:r>
        <w:rPr>
          <w:sz w:val="18"/>
          <w:szCs w:val="18"/>
        </w:rPr>
        <w:t xml:space="preserve"> 参见人力资源和社会保障部等九部门《加快数字人才培育支撑数字经济发展行动方案（2024-2026年）》（人社部发〔2024〕37号，2024年），用于说明数字人才培育的国家行动部署。</w:t>
      </w:r>
    </w:p>
  </w:footnote>
  <w:footnote w:id="16">
    <w:p>
      <w:pPr>
        <w:rPr>
          <w:sz w:val="18"/>
          <w:szCs w:val="18"/>
        </w:rPr>
      </w:pPr>
      <w:r>
        <w:rPr>
          <w:sz w:val="18"/>
          <w:szCs w:val="18"/>
          <w:vertAlign w:val="superscript"/>
        </w:rPr>
        <w:footnoteRef/>
      </w:r>
      <w:r>
        <w:rPr>
          <w:sz w:val="18"/>
          <w:szCs w:val="18"/>
        </w:rPr>
        <w:t xml:space="preserve"> 参见人力资源和社会保障部等《中国数字经济人才发展报告（2025）》（2025年），用于说明数字经济岗位需求规模和人才结构性缺口。</w:t>
      </w:r>
    </w:p>
  </w:footnote>
  <w:footnote w:id="17">
    <w:p>
      <w:pPr>
        <w:rPr>
          <w:sz w:val="18"/>
          <w:szCs w:val="18"/>
        </w:rPr>
      </w:pPr>
      <w:r>
        <w:rPr>
          <w:sz w:val="18"/>
          <w:szCs w:val="18"/>
          <w:vertAlign w:val="superscript"/>
        </w:rPr>
        <w:footnoteRef/>
      </w:r>
      <w:r>
        <w:rPr>
          <w:sz w:val="18"/>
          <w:szCs w:val="18"/>
        </w:rPr>
        <w:t xml:space="preserve"> 参见中国信息通信研究院《中国数字经济人才发展报告（2024-2025）》（2025年），用于补充数字经济人才能力结构和岗位分布。</w:t>
      </w:r>
    </w:p>
  </w:footnote>
  <w:footnote w:id="18">
    <w:p>
      <w:pPr>
        <w:rPr>
          <w:sz w:val="18"/>
          <w:szCs w:val="18"/>
        </w:rPr>
      </w:pPr>
      <w:r>
        <w:rPr>
          <w:sz w:val="18"/>
          <w:szCs w:val="18"/>
          <w:vertAlign w:val="superscript"/>
        </w:rPr>
        <w:footnoteRef/>
      </w:r>
      <w:r>
        <w:rPr>
          <w:sz w:val="18"/>
          <w:szCs w:val="18"/>
          <w:vertAlign w:val="superscript"/>
        </w:rPr>
        <w:t xml:space="preserve"> </w:t>
      </w:r>
      <w:r>
        <w:rPr>
          <w:sz w:val="18"/>
          <w:szCs w:val="18"/>
        </w:rPr>
        <w:t>参见东北师范大学就业创业教育研究院、阿里巴巴集团《高校毕业生数字经济就业创业报告》（2023年），用于说明高校毕业生进入数字经济领域的就业趋势。</w:t>
      </w:r>
    </w:p>
  </w:footnote>
  <w:footnote w:id="19">
    <w:p>
      <w:pPr>
        <w:rPr>
          <w:sz w:val="18"/>
          <w:szCs w:val="18"/>
        </w:rPr>
      </w:pPr>
      <w:r>
        <w:rPr>
          <w:sz w:val="18"/>
          <w:szCs w:val="18"/>
          <w:vertAlign w:val="superscript"/>
        </w:rPr>
        <w:footnoteRef/>
      </w:r>
      <w:r>
        <w:rPr>
          <w:sz w:val="18"/>
          <w:szCs w:val="18"/>
        </w:rPr>
        <w:t xml:space="preserve"> 参见广西人才网《2024年广西人才网人才供需情况分析报告》（2025年），用于观察广西人才市场供需变化与技术类岗位竞争情况。</w:t>
      </w:r>
    </w:p>
  </w:footnote>
  <w:footnote w:id="20">
    <w:p>
      <w:pPr>
        <w:rPr>
          <w:sz w:val="18"/>
          <w:szCs w:val="18"/>
        </w:rPr>
      </w:pPr>
      <w:r>
        <w:rPr>
          <w:sz w:val="18"/>
          <w:szCs w:val="18"/>
          <w:vertAlign w:val="superscript"/>
        </w:rPr>
        <w:footnoteRef/>
      </w:r>
      <w:r>
        <w:rPr>
          <w:sz w:val="18"/>
          <w:szCs w:val="18"/>
        </w:rPr>
        <w:t xml:space="preserve"> 参见当代广西网《算力产业迎来黄金时代，广西如何算出机遇》（2024年12月24日）及崇左市人民政府门户网站《智能等新赛道大有可为》（2025年5月30日），用于补充广西算力产业和新兴赛道案例。</w:t>
      </w:r>
    </w:p>
  </w:footnote>
  <w:footnote w:id="21">
    <w:p>
      <w:pPr>
        <w:rPr>
          <w:sz w:val="18"/>
          <w:szCs w:val="18"/>
        </w:rPr>
      </w:pPr>
      <w:r>
        <w:rPr>
          <w:sz w:val="18"/>
          <w:szCs w:val="18"/>
          <w:vertAlign w:val="superscript"/>
        </w:rPr>
        <w:footnoteRef/>
      </w:r>
      <w:r>
        <w:rPr>
          <w:sz w:val="18"/>
          <w:szCs w:val="18"/>
        </w:rPr>
        <w:t xml:space="preserve"> 参见广西人才网《2024年第三季度广西人才网人才供求分析报告》（2024年），用于补充阶段性岗位供求变化。</w:t>
      </w:r>
    </w:p>
  </w:footnote>
  <w:footnote w:id="22">
    <w:p>
      <w:pPr>
        <w:rPr>
          <w:sz w:val="18"/>
          <w:szCs w:val="18"/>
        </w:rPr>
      </w:pPr>
      <w:r>
        <w:rPr>
          <w:sz w:val="18"/>
          <w:szCs w:val="18"/>
          <w:vertAlign w:val="superscript"/>
        </w:rPr>
        <w:footnoteRef/>
      </w:r>
      <w:r>
        <w:rPr>
          <w:sz w:val="18"/>
          <w:szCs w:val="18"/>
        </w:rPr>
        <w:t xml:space="preserve"> 参见新浪财经《广西数字经济发展报告出炉》（2025年9月29日），用于补充媒体公开报道中的广西数字经济发展信息。</w:t>
      </w:r>
    </w:p>
  </w:footnote>
  <w:footnote w:id="23">
    <w:p>
      <w:pPr>
        <w:rPr>
          <w:sz w:val="18"/>
          <w:szCs w:val="18"/>
        </w:rPr>
      </w:pPr>
      <w:r>
        <w:rPr>
          <w:sz w:val="18"/>
          <w:szCs w:val="18"/>
          <w:vertAlign w:val="superscript"/>
        </w:rPr>
        <w:footnoteRef/>
      </w:r>
      <w:r>
        <w:rPr>
          <w:sz w:val="18"/>
          <w:szCs w:val="18"/>
        </w:rPr>
        <w:t xml:space="preserve"> 参见广西壮族自治区教育厅《广西壮族自治区2024届普通高校毕业生就业质量年度报告》（2025年），用于说明区内高校毕业生就业质量与留桂就业情况。</w:t>
      </w:r>
    </w:p>
  </w:footnote>
  <w:footnote w:id="24">
    <w:p>
      <w:pPr>
        <w:rPr>
          <w:sz w:val="18"/>
          <w:szCs w:val="18"/>
        </w:rPr>
      </w:pPr>
      <w:r>
        <w:rPr>
          <w:rStyle w:val="146"/>
        </w:rPr>
        <w:footnoteRef/>
      </w:r>
      <w:r>
        <w:t xml:space="preserve"> </w:t>
      </w:r>
      <w:r>
        <w:rPr>
          <w:rFonts w:hint="eastAsia"/>
          <w:sz w:val="18"/>
          <w:szCs w:val="18"/>
        </w:rPr>
        <w:t>本节资料均</w:t>
      </w:r>
      <w:r>
        <w:rPr>
          <w:sz w:val="18"/>
          <w:szCs w:val="18"/>
        </w:rPr>
        <w:t>根据前程无忧《2025年校园招聘白皮书》、BOSS直聘薪酬查询平台、广西人才网《2024年人才供需情况分析报告》等公开招聘与薪酬信息整理</w:t>
      </w:r>
      <w:r>
        <w:rPr>
          <w:rFonts w:hint="eastAsia"/>
          <w:sz w:val="18"/>
          <w:szCs w:val="18"/>
        </w:rPr>
        <w:t>，后文不再赘述。</w:t>
      </w:r>
    </w:p>
    <w:p>
      <w:pPr>
        <w:pStyle w:val="32"/>
        <w:rPr>
          <w:lang w:eastAsia="zh-C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6">
    <w:nsid w:val="77104567"/>
    <w:multiLevelType w:val="singleLevel"/>
    <w:tmpl w:val="77104567"/>
    <w:lvl w:ilvl="0" w:tentative="0">
      <w:start w:val="4"/>
      <w:numFmt w:val="chineseCounting"/>
      <w:suff w:val="nothing"/>
      <w:lvlText w:val="（%1）"/>
      <w:lvlJc w:val="left"/>
      <w:rPr>
        <w:rFonts w:hint="eastAsia"/>
      </w:rPr>
    </w:lvl>
  </w:abstractNum>
  <w:num w:numId="1">
    <w:abstractNumId w:val="1"/>
  </w:num>
  <w:num w:numId="2">
    <w:abstractNumId w:val="4"/>
  </w:num>
  <w:num w:numId="3">
    <w:abstractNumId w:val="5"/>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footnotePr>
    <w:numFmt w:val="decimalEnclosedCircleChinese"/>
    <w:numRestart w:val="eachPage"/>
    <w:footnote w:id="50"/>
    <w:footnote w:id="51"/>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UzNzQ1YzE4YTI2MTc1OGZmZjNhN2IxYzdjZDg4ODYifQ=="/>
    <w:docVar w:name="KSO_WPS_MARK_KEY" w:val="28a17687-7e6d-40bc-ad8a-29f99ea95606"/>
  </w:docVars>
  <w:rsids>
    <w:rsidRoot w:val="FFA7F0FE"/>
    <w:rsid w:val="0002174E"/>
    <w:rsid w:val="00050E7C"/>
    <w:rsid w:val="00062A1E"/>
    <w:rsid w:val="000A1EAF"/>
    <w:rsid w:val="000A4604"/>
    <w:rsid w:val="000E683D"/>
    <w:rsid w:val="000F5DB5"/>
    <w:rsid w:val="001451B5"/>
    <w:rsid w:val="00195107"/>
    <w:rsid w:val="001A6EB1"/>
    <w:rsid w:val="001E194C"/>
    <w:rsid w:val="002E124D"/>
    <w:rsid w:val="00303BC8"/>
    <w:rsid w:val="00380248"/>
    <w:rsid w:val="003D264E"/>
    <w:rsid w:val="003F7056"/>
    <w:rsid w:val="00404D37"/>
    <w:rsid w:val="00445B1C"/>
    <w:rsid w:val="00451C2A"/>
    <w:rsid w:val="00471B42"/>
    <w:rsid w:val="004B0B05"/>
    <w:rsid w:val="004B1DC5"/>
    <w:rsid w:val="00512E58"/>
    <w:rsid w:val="00571523"/>
    <w:rsid w:val="005716DD"/>
    <w:rsid w:val="005A3213"/>
    <w:rsid w:val="005C22AF"/>
    <w:rsid w:val="005D1C2C"/>
    <w:rsid w:val="005D51ED"/>
    <w:rsid w:val="006062B2"/>
    <w:rsid w:val="00672680"/>
    <w:rsid w:val="006F3438"/>
    <w:rsid w:val="006F5781"/>
    <w:rsid w:val="0075585E"/>
    <w:rsid w:val="007D2B56"/>
    <w:rsid w:val="007D46AA"/>
    <w:rsid w:val="007E6FB6"/>
    <w:rsid w:val="00843C2A"/>
    <w:rsid w:val="00862454"/>
    <w:rsid w:val="00870712"/>
    <w:rsid w:val="008B71C0"/>
    <w:rsid w:val="008E13B0"/>
    <w:rsid w:val="00984101"/>
    <w:rsid w:val="00992FB9"/>
    <w:rsid w:val="009E51BA"/>
    <w:rsid w:val="00A175DD"/>
    <w:rsid w:val="00A23AFF"/>
    <w:rsid w:val="00A65B41"/>
    <w:rsid w:val="00A92E14"/>
    <w:rsid w:val="00A94B16"/>
    <w:rsid w:val="00A97B59"/>
    <w:rsid w:val="00B131CF"/>
    <w:rsid w:val="00BB0076"/>
    <w:rsid w:val="00BC223D"/>
    <w:rsid w:val="00BE1BE2"/>
    <w:rsid w:val="00C13791"/>
    <w:rsid w:val="00C91EC6"/>
    <w:rsid w:val="00CC2FF7"/>
    <w:rsid w:val="00D27C83"/>
    <w:rsid w:val="00D34AE4"/>
    <w:rsid w:val="00E144C4"/>
    <w:rsid w:val="00E31388"/>
    <w:rsid w:val="00E37A2A"/>
    <w:rsid w:val="00F73F88"/>
    <w:rsid w:val="00FB762C"/>
    <w:rsid w:val="017107BE"/>
    <w:rsid w:val="02181129"/>
    <w:rsid w:val="023C4E17"/>
    <w:rsid w:val="024E4105"/>
    <w:rsid w:val="03921859"/>
    <w:rsid w:val="03FA477C"/>
    <w:rsid w:val="04092648"/>
    <w:rsid w:val="04543648"/>
    <w:rsid w:val="0473320E"/>
    <w:rsid w:val="04BE5FB8"/>
    <w:rsid w:val="05743A2F"/>
    <w:rsid w:val="065B3392"/>
    <w:rsid w:val="06606FF0"/>
    <w:rsid w:val="06797A52"/>
    <w:rsid w:val="076B567C"/>
    <w:rsid w:val="07996868"/>
    <w:rsid w:val="0A1F0A4A"/>
    <w:rsid w:val="0B0F08C6"/>
    <w:rsid w:val="0B842268"/>
    <w:rsid w:val="0BAA0F11"/>
    <w:rsid w:val="0BDC1F14"/>
    <w:rsid w:val="0BE45BD8"/>
    <w:rsid w:val="0C1F4E62"/>
    <w:rsid w:val="0D3D1A44"/>
    <w:rsid w:val="0DC12675"/>
    <w:rsid w:val="0DCB694B"/>
    <w:rsid w:val="0E9B2EC6"/>
    <w:rsid w:val="0E9B5403"/>
    <w:rsid w:val="0FE97640"/>
    <w:rsid w:val="103A226A"/>
    <w:rsid w:val="114A52D7"/>
    <w:rsid w:val="1245667F"/>
    <w:rsid w:val="12704669"/>
    <w:rsid w:val="13A22600"/>
    <w:rsid w:val="13D9041F"/>
    <w:rsid w:val="14171240"/>
    <w:rsid w:val="145E54C9"/>
    <w:rsid w:val="14C64FA3"/>
    <w:rsid w:val="14CB229C"/>
    <w:rsid w:val="15151529"/>
    <w:rsid w:val="15746B2A"/>
    <w:rsid w:val="15C2342E"/>
    <w:rsid w:val="17367C2F"/>
    <w:rsid w:val="173C4B1A"/>
    <w:rsid w:val="174F484D"/>
    <w:rsid w:val="184C5564"/>
    <w:rsid w:val="18B9619D"/>
    <w:rsid w:val="19DF15B7"/>
    <w:rsid w:val="19F823A8"/>
    <w:rsid w:val="1A8A3DEE"/>
    <w:rsid w:val="1B1262BE"/>
    <w:rsid w:val="1C821221"/>
    <w:rsid w:val="1CBB11C7"/>
    <w:rsid w:val="1CD87093"/>
    <w:rsid w:val="1D1F271E"/>
    <w:rsid w:val="1D4A4435"/>
    <w:rsid w:val="1DEA240A"/>
    <w:rsid w:val="1ECE2E43"/>
    <w:rsid w:val="1EE44415"/>
    <w:rsid w:val="1EFA1543"/>
    <w:rsid w:val="1F220A99"/>
    <w:rsid w:val="1F30723D"/>
    <w:rsid w:val="1FBC0EEE"/>
    <w:rsid w:val="1FE50455"/>
    <w:rsid w:val="20176124"/>
    <w:rsid w:val="20A26336"/>
    <w:rsid w:val="20C31E08"/>
    <w:rsid w:val="20DF4573"/>
    <w:rsid w:val="289D2F56"/>
    <w:rsid w:val="28CE60E1"/>
    <w:rsid w:val="291B0A33"/>
    <w:rsid w:val="294D2BB7"/>
    <w:rsid w:val="2A0E0EA1"/>
    <w:rsid w:val="2A4E308A"/>
    <w:rsid w:val="2A9211C9"/>
    <w:rsid w:val="2BAA0794"/>
    <w:rsid w:val="2D5B6485"/>
    <w:rsid w:val="2D6B5654"/>
    <w:rsid w:val="2D8E211C"/>
    <w:rsid w:val="2E3D58F0"/>
    <w:rsid w:val="2F950E14"/>
    <w:rsid w:val="2FD933F6"/>
    <w:rsid w:val="318B1C70"/>
    <w:rsid w:val="31D245A1"/>
    <w:rsid w:val="32D14858"/>
    <w:rsid w:val="33062754"/>
    <w:rsid w:val="34160D04"/>
    <w:rsid w:val="344D0B5F"/>
    <w:rsid w:val="357065AB"/>
    <w:rsid w:val="391B2FDB"/>
    <w:rsid w:val="39363667"/>
    <w:rsid w:val="3A231E3E"/>
    <w:rsid w:val="3B4F619C"/>
    <w:rsid w:val="3BC94A90"/>
    <w:rsid w:val="3CED069A"/>
    <w:rsid w:val="3D993E1E"/>
    <w:rsid w:val="3E7A5718"/>
    <w:rsid w:val="40133308"/>
    <w:rsid w:val="40971EDA"/>
    <w:rsid w:val="40CA003F"/>
    <w:rsid w:val="40E51BFB"/>
    <w:rsid w:val="41A41AB6"/>
    <w:rsid w:val="4230334A"/>
    <w:rsid w:val="43AE3A87"/>
    <w:rsid w:val="43CF0940"/>
    <w:rsid w:val="44957494"/>
    <w:rsid w:val="44CD1324"/>
    <w:rsid w:val="462979D9"/>
    <w:rsid w:val="46805F22"/>
    <w:rsid w:val="4728458F"/>
    <w:rsid w:val="47317A9B"/>
    <w:rsid w:val="47482EE3"/>
    <w:rsid w:val="47A125F4"/>
    <w:rsid w:val="48BD345D"/>
    <w:rsid w:val="49211C3E"/>
    <w:rsid w:val="49926698"/>
    <w:rsid w:val="4B0C5085"/>
    <w:rsid w:val="4C673E0C"/>
    <w:rsid w:val="4C9444D5"/>
    <w:rsid w:val="4DC1579E"/>
    <w:rsid w:val="4E1E04FA"/>
    <w:rsid w:val="53840DF0"/>
    <w:rsid w:val="53944235"/>
    <w:rsid w:val="53DD7159"/>
    <w:rsid w:val="55AF107B"/>
    <w:rsid w:val="55FF46BB"/>
    <w:rsid w:val="57811AFA"/>
    <w:rsid w:val="58254B7B"/>
    <w:rsid w:val="58BC54DF"/>
    <w:rsid w:val="58C425E6"/>
    <w:rsid w:val="5A040EEC"/>
    <w:rsid w:val="5A292701"/>
    <w:rsid w:val="5A4E03B9"/>
    <w:rsid w:val="5B0B1E06"/>
    <w:rsid w:val="5B0B3659"/>
    <w:rsid w:val="5B8B2F47"/>
    <w:rsid w:val="5BA50883"/>
    <w:rsid w:val="5BA55725"/>
    <w:rsid w:val="5C3E3E63"/>
    <w:rsid w:val="5CA516A6"/>
    <w:rsid w:val="5CF54B1C"/>
    <w:rsid w:val="5D0134C1"/>
    <w:rsid w:val="5DDB4E6C"/>
    <w:rsid w:val="5E286A9B"/>
    <w:rsid w:val="5E341674"/>
    <w:rsid w:val="5E343D6A"/>
    <w:rsid w:val="5E360F0F"/>
    <w:rsid w:val="5E9A7641"/>
    <w:rsid w:val="5F4FD49A"/>
    <w:rsid w:val="6005776C"/>
    <w:rsid w:val="6106379C"/>
    <w:rsid w:val="61AE20DD"/>
    <w:rsid w:val="6329529D"/>
    <w:rsid w:val="68AF4719"/>
    <w:rsid w:val="69601EB7"/>
    <w:rsid w:val="6AD466B8"/>
    <w:rsid w:val="6B5651A0"/>
    <w:rsid w:val="6C335661"/>
    <w:rsid w:val="6D4A2C62"/>
    <w:rsid w:val="6E663ACB"/>
    <w:rsid w:val="6EF77D49"/>
    <w:rsid w:val="700A0487"/>
    <w:rsid w:val="72356904"/>
    <w:rsid w:val="723839D1"/>
    <w:rsid w:val="732A4ED0"/>
    <w:rsid w:val="738F1299"/>
    <w:rsid w:val="739E1612"/>
    <w:rsid w:val="74310511"/>
    <w:rsid w:val="7460720F"/>
    <w:rsid w:val="74663965"/>
    <w:rsid w:val="75CD52D8"/>
    <w:rsid w:val="765A079C"/>
    <w:rsid w:val="76A7414F"/>
    <w:rsid w:val="76C03F95"/>
    <w:rsid w:val="778632DD"/>
    <w:rsid w:val="789D458E"/>
    <w:rsid w:val="790E776E"/>
    <w:rsid w:val="793A4D48"/>
    <w:rsid w:val="79537342"/>
    <w:rsid w:val="797F3B37"/>
    <w:rsid w:val="79C70258"/>
    <w:rsid w:val="79D264B9"/>
    <w:rsid w:val="79EE773C"/>
    <w:rsid w:val="7A49633D"/>
    <w:rsid w:val="7A932C8A"/>
    <w:rsid w:val="7B845591"/>
    <w:rsid w:val="7BED2CC8"/>
    <w:rsid w:val="7BF546E1"/>
    <w:rsid w:val="7E74E301"/>
    <w:rsid w:val="7F043E25"/>
    <w:rsid w:val="7F5D4A77"/>
    <w:rsid w:val="7F706B12"/>
    <w:rsid w:val="7F7B314F"/>
    <w:rsid w:val="7F7FBD92"/>
    <w:rsid w:val="849FA09D"/>
    <w:rsid w:val="AB02C5F6"/>
    <w:rsid w:val="BBBF372D"/>
    <w:rsid w:val="BF5F6438"/>
    <w:rsid w:val="BFE7A319"/>
    <w:rsid w:val="D87FE69C"/>
    <w:rsid w:val="E7D7D98D"/>
    <w:rsid w:val="F4A9E1DE"/>
    <w:rsid w:val="F77DC46D"/>
    <w:rsid w:val="FAFF0A59"/>
    <w:rsid w:val="FBFABAD4"/>
    <w:rsid w:val="FDFADB92"/>
    <w:rsid w:val="FF8F44C3"/>
    <w:rsid w:val="FFA7F0FE"/>
    <w:rsid w:val="FFFD77E6"/>
    <w:rsid w:val="FFFF4D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qFormat="1" w:uiPriority="0"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35"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iPriority="99" w:semiHidden="0" w:name="macro"/>
    <w:lsdException w:unhideWhenUsed="0" w:uiPriority="0" w:semiHidden="0"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nhideWhenUsed="0" w:uiPriority="0" w:semiHidden="0" w:name="List 4"/>
    <w:lsdException w:unhideWhenUsed="0" w:uiPriority="0" w:semiHidden="0" w:name="List 5"/>
    <w:lsdException w:qFormat="1" w:uiPriority="99" w:semiHidden="0" w:name="List Bullet 2"/>
    <w:lsdException w:qFormat="1" w:uiPriority="99" w:semiHidden="0" w:name="List Bullet 3"/>
    <w:lsdException w:unhideWhenUsed="0" w:uiPriority="0" w:semiHidden="0" w:name="List Bullet 4"/>
    <w:lsdException w:unhideWhenUsed="0" w:uiPriority="0" w:semiHidden="0" w:name="List Bullet 5"/>
    <w:lsdException w:qFormat="1" w:uiPriority="99" w:semiHidden="0" w:name="List Number 2"/>
    <w:lsdException w:qFormat="1" w:uiPriority="99"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qFormat="1" w:uiPriority="99" w:semiHidden="0" w:name="List Continue"/>
    <w:lsdException w:qFormat="1" w:uiPriority="99" w:semiHidden="0" w:name="List Continue 2"/>
    <w:lsdException w:qFormat="1" w:uiPriority="99"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149"/>
    <w:qFormat/>
    <w:uiPriority w:val="9"/>
    <w:pPr>
      <w:keepNext/>
      <w:keepLines/>
      <w:widowControl/>
      <w:spacing w:before="140" w:line="360" w:lineRule="auto"/>
      <w:jc w:val="left"/>
      <w:outlineLvl w:val="0"/>
    </w:pPr>
    <w:rPr>
      <w:rFonts w:eastAsia="黑体" w:asciiTheme="majorHAnsi" w:hAnsiTheme="majorHAnsi" w:cstheme="majorBidi"/>
      <w:bCs/>
      <w:color w:val="000000"/>
      <w:kern w:val="0"/>
      <w:sz w:val="28"/>
      <w:szCs w:val="28"/>
    </w:rPr>
  </w:style>
  <w:style w:type="paragraph" w:styleId="4">
    <w:name w:val="heading 2"/>
    <w:basedOn w:val="1"/>
    <w:next w:val="1"/>
    <w:link w:val="150"/>
    <w:unhideWhenUsed/>
    <w:qFormat/>
    <w:uiPriority w:val="9"/>
    <w:pPr>
      <w:keepNext/>
      <w:keepLines/>
      <w:widowControl/>
      <w:ind w:firstLine="422" w:firstLineChars="200"/>
      <w:jc w:val="left"/>
      <w:outlineLvl w:val="1"/>
    </w:pPr>
    <w:rPr>
      <w:rFonts w:ascii="Times New Roman" w:hAnsi="Times New Roman" w:cstheme="majorBidi"/>
      <w:b/>
      <w:bCs/>
      <w:color w:val="000000"/>
      <w:kern w:val="0"/>
      <w:szCs w:val="21"/>
    </w:rPr>
  </w:style>
  <w:style w:type="paragraph" w:styleId="5">
    <w:name w:val="heading 3"/>
    <w:basedOn w:val="1"/>
    <w:next w:val="1"/>
    <w:link w:val="151"/>
    <w:unhideWhenUsed/>
    <w:qFormat/>
    <w:uiPriority w:val="9"/>
    <w:pPr>
      <w:keepNext/>
      <w:keepLines/>
      <w:widowControl/>
      <w:ind w:firstLine="482" w:firstLineChars="200"/>
      <w:jc w:val="left"/>
      <w:outlineLvl w:val="2"/>
    </w:pPr>
    <w:rPr>
      <w:rFonts w:ascii="Times New Roman" w:hAnsi="Times New Roman" w:cstheme="majorBidi"/>
      <w:b/>
      <w:bCs/>
      <w:color w:val="000000"/>
      <w:kern w:val="0"/>
      <w:sz w:val="24"/>
      <w:szCs w:val="22"/>
      <w:lang w:eastAsia="en-US"/>
    </w:rPr>
  </w:style>
  <w:style w:type="paragraph" w:styleId="6">
    <w:name w:val="heading 4"/>
    <w:basedOn w:val="1"/>
    <w:next w:val="1"/>
    <w:link w:val="152"/>
    <w:semiHidden/>
    <w:unhideWhenUsed/>
    <w:qFormat/>
    <w:uiPriority w:val="9"/>
    <w:pPr>
      <w:keepNext/>
      <w:keepLines/>
      <w:widowControl/>
      <w:spacing w:before="200" w:line="360" w:lineRule="auto"/>
      <w:jc w:val="left"/>
      <w:outlineLvl w:val="3"/>
    </w:pPr>
    <w:rPr>
      <w:rFonts w:asciiTheme="majorHAnsi" w:hAnsiTheme="majorHAnsi" w:eastAsiaTheme="majorEastAsia" w:cstheme="majorBidi"/>
      <w:b/>
      <w:bCs/>
      <w:i/>
      <w:iCs/>
      <w:color w:val="4F81BD" w:themeColor="accent1"/>
      <w:kern w:val="0"/>
      <w:sz w:val="24"/>
      <w:szCs w:val="22"/>
      <w:lang w:eastAsia="en-US"/>
      <w14:textFill>
        <w14:solidFill>
          <w14:schemeClr w14:val="accent1"/>
        </w14:solidFill>
      </w14:textFill>
    </w:rPr>
  </w:style>
  <w:style w:type="paragraph" w:styleId="7">
    <w:name w:val="heading 5"/>
    <w:basedOn w:val="1"/>
    <w:next w:val="1"/>
    <w:link w:val="153"/>
    <w:semiHidden/>
    <w:unhideWhenUsed/>
    <w:qFormat/>
    <w:uiPriority w:val="9"/>
    <w:pPr>
      <w:keepNext/>
      <w:keepLines/>
      <w:widowControl/>
      <w:spacing w:before="200" w:line="360" w:lineRule="auto"/>
      <w:jc w:val="left"/>
      <w:outlineLvl w:val="4"/>
    </w:pPr>
    <w:rPr>
      <w:rFonts w:asciiTheme="majorHAnsi" w:hAnsiTheme="majorHAnsi" w:eastAsiaTheme="majorEastAsia" w:cstheme="majorBidi"/>
      <w:color w:val="254061" w:themeColor="accent1" w:themeShade="80"/>
      <w:kern w:val="0"/>
      <w:sz w:val="24"/>
      <w:szCs w:val="22"/>
      <w:lang w:eastAsia="en-US"/>
    </w:rPr>
  </w:style>
  <w:style w:type="paragraph" w:styleId="8">
    <w:name w:val="heading 6"/>
    <w:basedOn w:val="1"/>
    <w:next w:val="1"/>
    <w:link w:val="154"/>
    <w:semiHidden/>
    <w:unhideWhenUsed/>
    <w:qFormat/>
    <w:uiPriority w:val="9"/>
    <w:pPr>
      <w:keepNext/>
      <w:keepLines/>
      <w:widowControl/>
      <w:spacing w:before="200" w:line="360" w:lineRule="auto"/>
      <w:jc w:val="left"/>
      <w:outlineLvl w:val="5"/>
    </w:pPr>
    <w:rPr>
      <w:rFonts w:asciiTheme="majorHAnsi" w:hAnsiTheme="majorHAnsi" w:eastAsiaTheme="majorEastAsia" w:cstheme="majorBidi"/>
      <w:i/>
      <w:iCs/>
      <w:color w:val="254061" w:themeColor="accent1" w:themeShade="80"/>
      <w:kern w:val="0"/>
      <w:sz w:val="24"/>
      <w:szCs w:val="22"/>
      <w:lang w:eastAsia="en-US"/>
    </w:rPr>
  </w:style>
  <w:style w:type="paragraph" w:styleId="9">
    <w:name w:val="heading 7"/>
    <w:basedOn w:val="1"/>
    <w:next w:val="1"/>
    <w:link w:val="155"/>
    <w:semiHidden/>
    <w:unhideWhenUsed/>
    <w:qFormat/>
    <w:uiPriority w:val="9"/>
    <w:pPr>
      <w:keepNext/>
      <w:keepLines/>
      <w:widowControl/>
      <w:spacing w:before="200" w:line="360" w:lineRule="auto"/>
      <w:jc w:val="left"/>
      <w:outlineLvl w:val="6"/>
    </w:pPr>
    <w:rPr>
      <w:rFonts w:asciiTheme="majorHAnsi" w:hAnsiTheme="majorHAnsi" w:eastAsiaTheme="majorEastAsia" w:cstheme="majorBidi"/>
      <w:i/>
      <w:iCs/>
      <w:color w:val="404040" w:themeColor="text1" w:themeTint="BF"/>
      <w:kern w:val="0"/>
      <w:sz w:val="24"/>
      <w:szCs w:val="22"/>
      <w:lang w:eastAsia="en-US"/>
      <w14:textFill>
        <w14:solidFill>
          <w14:schemeClr w14:val="tx1">
            <w14:lumMod w14:val="75000"/>
            <w14:lumOff w14:val="25000"/>
          </w14:schemeClr>
        </w14:solidFill>
      </w14:textFill>
    </w:rPr>
  </w:style>
  <w:style w:type="paragraph" w:styleId="10">
    <w:name w:val="heading 8"/>
    <w:basedOn w:val="1"/>
    <w:next w:val="1"/>
    <w:link w:val="156"/>
    <w:semiHidden/>
    <w:unhideWhenUsed/>
    <w:qFormat/>
    <w:uiPriority w:val="9"/>
    <w:pPr>
      <w:keepNext/>
      <w:keepLines/>
      <w:widowControl/>
      <w:spacing w:before="200" w:line="360" w:lineRule="auto"/>
      <w:jc w:val="left"/>
      <w:outlineLvl w:val="7"/>
    </w:pPr>
    <w:rPr>
      <w:rFonts w:asciiTheme="majorHAnsi" w:hAnsiTheme="majorHAnsi" w:eastAsiaTheme="majorEastAsia" w:cstheme="majorBidi"/>
      <w:color w:val="4F81BD" w:themeColor="accent1"/>
      <w:kern w:val="0"/>
      <w:sz w:val="20"/>
      <w:szCs w:val="20"/>
      <w:lang w:eastAsia="en-US"/>
      <w14:textFill>
        <w14:solidFill>
          <w14:schemeClr w14:val="accent1"/>
        </w14:solidFill>
      </w14:textFill>
    </w:rPr>
  </w:style>
  <w:style w:type="paragraph" w:styleId="11">
    <w:name w:val="heading 9"/>
    <w:basedOn w:val="1"/>
    <w:next w:val="1"/>
    <w:link w:val="157"/>
    <w:semiHidden/>
    <w:unhideWhenUsed/>
    <w:qFormat/>
    <w:uiPriority w:val="9"/>
    <w:pPr>
      <w:keepNext/>
      <w:keepLines/>
      <w:widowControl/>
      <w:spacing w:before="200" w:line="360" w:lineRule="auto"/>
      <w:jc w:val="left"/>
      <w:outlineLvl w:val="8"/>
    </w:pPr>
    <w:rPr>
      <w:rFonts w:asciiTheme="majorHAnsi" w:hAnsiTheme="majorHAnsi" w:eastAsiaTheme="majorEastAsia" w:cstheme="majorBidi"/>
      <w:i/>
      <w:iCs/>
      <w:color w:val="404040" w:themeColor="text1" w:themeTint="BF"/>
      <w:kern w:val="0"/>
      <w:sz w:val="20"/>
      <w:szCs w:val="20"/>
      <w:lang w:eastAsia="en-US"/>
      <w14:textFill>
        <w14:solidFill>
          <w14:schemeClr w14:val="tx1">
            <w14:lumMod w14:val="75000"/>
            <w14:lumOff w14:val="25000"/>
          </w14:schemeClr>
        </w14:solidFill>
      </w14:textFill>
    </w:rPr>
  </w:style>
  <w:style w:type="character" w:default="1" w:styleId="140">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2">
    <w:name w:val="macro"/>
    <w:link w:val="15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lang w:val="en-US" w:eastAsia="en-US" w:bidi="ar-SA"/>
    </w:rPr>
  </w:style>
  <w:style w:type="paragraph" w:styleId="12">
    <w:name w:val="List 3"/>
    <w:basedOn w:val="1"/>
    <w:unhideWhenUsed/>
    <w:qFormat/>
    <w:uiPriority w:val="99"/>
    <w:pPr>
      <w:widowControl/>
      <w:spacing w:line="360" w:lineRule="auto"/>
      <w:ind w:left="1080" w:hanging="360"/>
      <w:contextualSpacing/>
      <w:jc w:val="left"/>
    </w:pPr>
    <w:rPr>
      <w:rFonts w:ascii="Times New Roman" w:hAnsi="Times New Roman"/>
      <w:kern w:val="0"/>
      <w:sz w:val="24"/>
      <w:szCs w:val="22"/>
      <w:lang w:eastAsia="en-US"/>
    </w:rPr>
  </w:style>
  <w:style w:type="paragraph" w:styleId="13">
    <w:name w:val="List Number 2"/>
    <w:basedOn w:val="1"/>
    <w:unhideWhenUsed/>
    <w:qFormat/>
    <w:uiPriority w:val="99"/>
    <w:pPr>
      <w:widowControl/>
      <w:numPr>
        <w:ilvl w:val="0"/>
        <w:numId w:val="1"/>
      </w:numPr>
      <w:tabs>
        <w:tab w:val="clear" w:pos="720"/>
      </w:tabs>
      <w:spacing w:line="360" w:lineRule="auto"/>
      <w:ind w:left="0" w:firstLine="0"/>
      <w:contextualSpacing/>
      <w:jc w:val="left"/>
    </w:pPr>
    <w:rPr>
      <w:rFonts w:ascii="Times New Roman" w:hAnsi="Times New Roman"/>
      <w:kern w:val="0"/>
      <w:sz w:val="24"/>
      <w:szCs w:val="22"/>
      <w:lang w:eastAsia="en-US"/>
    </w:rPr>
  </w:style>
  <w:style w:type="paragraph" w:styleId="14">
    <w:name w:val="List Number"/>
    <w:basedOn w:val="1"/>
    <w:unhideWhenUsed/>
    <w:qFormat/>
    <w:uiPriority w:val="99"/>
    <w:pPr>
      <w:widowControl/>
      <w:numPr>
        <w:ilvl w:val="0"/>
        <w:numId w:val="2"/>
      </w:numPr>
      <w:tabs>
        <w:tab w:val="clear" w:pos="360"/>
      </w:tabs>
      <w:spacing w:line="360" w:lineRule="auto"/>
      <w:ind w:left="0" w:firstLine="0"/>
      <w:contextualSpacing/>
      <w:jc w:val="left"/>
    </w:pPr>
    <w:rPr>
      <w:rFonts w:ascii="Times New Roman" w:hAnsi="Times New Roman"/>
      <w:kern w:val="0"/>
      <w:sz w:val="24"/>
      <w:szCs w:val="22"/>
      <w:lang w:eastAsia="en-US"/>
    </w:rPr>
  </w:style>
  <w:style w:type="paragraph" w:styleId="15">
    <w:name w:val="caption"/>
    <w:basedOn w:val="1"/>
    <w:next w:val="1"/>
    <w:semiHidden/>
    <w:unhideWhenUsed/>
    <w:qFormat/>
    <w:uiPriority w:val="35"/>
    <w:pPr>
      <w:widowControl/>
      <w:jc w:val="left"/>
    </w:pPr>
    <w:rPr>
      <w:rFonts w:ascii="Times New Roman" w:hAnsi="Times New Roman"/>
      <w:b/>
      <w:bCs/>
      <w:color w:val="4F81BD" w:themeColor="accent1"/>
      <w:kern w:val="0"/>
      <w:sz w:val="18"/>
      <w:szCs w:val="18"/>
      <w:lang w:eastAsia="en-US"/>
      <w14:textFill>
        <w14:solidFill>
          <w14:schemeClr w14:val="accent1"/>
        </w14:solidFill>
      </w14:textFill>
    </w:rPr>
  </w:style>
  <w:style w:type="paragraph" w:styleId="16">
    <w:name w:val="List Bullet"/>
    <w:basedOn w:val="1"/>
    <w:unhideWhenUsed/>
    <w:qFormat/>
    <w:uiPriority w:val="99"/>
    <w:pPr>
      <w:widowControl/>
      <w:numPr>
        <w:ilvl w:val="0"/>
        <w:numId w:val="3"/>
      </w:numPr>
      <w:tabs>
        <w:tab w:val="clear" w:pos="360"/>
      </w:tabs>
      <w:spacing w:line="360" w:lineRule="auto"/>
      <w:ind w:left="0" w:firstLine="0"/>
      <w:contextualSpacing/>
      <w:jc w:val="left"/>
    </w:pPr>
    <w:rPr>
      <w:rFonts w:ascii="Times New Roman" w:hAnsi="Times New Roman"/>
      <w:kern w:val="0"/>
      <w:sz w:val="24"/>
      <w:szCs w:val="22"/>
      <w:lang w:eastAsia="en-US"/>
    </w:rPr>
  </w:style>
  <w:style w:type="paragraph" w:styleId="17">
    <w:name w:val="annotation text"/>
    <w:basedOn w:val="1"/>
    <w:link w:val="184"/>
    <w:unhideWhenUsed/>
    <w:qFormat/>
    <w:uiPriority w:val="99"/>
    <w:pPr>
      <w:widowControl/>
      <w:spacing w:line="360" w:lineRule="auto"/>
      <w:jc w:val="left"/>
    </w:pPr>
    <w:rPr>
      <w:rFonts w:ascii="Times New Roman" w:hAnsi="Times New Roman"/>
      <w:kern w:val="0"/>
      <w:sz w:val="24"/>
      <w:szCs w:val="22"/>
      <w:lang w:eastAsia="en-US"/>
    </w:rPr>
  </w:style>
  <w:style w:type="paragraph" w:styleId="18">
    <w:name w:val="Body Text 3"/>
    <w:basedOn w:val="1"/>
    <w:link w:val="159"/>
    <w:unhideWhenUsed/>
    <w:qFormat/>
    <w:uiPriority w:val="99"/>
    <w:pPr>
      <w:widowControl/>
      <w:spacing w:after="120" w:line="360" w:lineRule="auto"/>
      <w:jc w:val="left"/>
    </w:pPr>
    <w:rPr>
      <w:rFonts w:ascii="Times New Roman" w:hAnsi="Times New Roman"/>
      <w:kern w:val="0"/>
      <w:sz w:val="16"/>
      <w:szCs w:val="16"/>
      <w:lang w:eastAsia="en-US"/>
    </w:rPr>
  </w:style>
  <w:style w:type="paragraph" w:styleId="19">
    <w:name w:val="List Bullet 3"/>
    <w:basedOn w:val="1"/>
    <w:unhideWhenUsed/>
    <w:qFormat/>
    <w:uiPriority w:val="99"/>
    <w:pPr>
      <w:widowControl/>
      <w:numPr>
        <w:ilvl w:val="0"/>
        <w:numId w:val="4"/>
      </w:numPr>
      <w:tabs>
        <w:tab w:val="clear" w:pos="1080"/>
      </w:tabs>
      <w:spacing w:line="360" w:lineRule="auto"/>
      <w:ind w:left="0" w:firstLine="0"/>
      <w:contextualSpacing/>
      <w:jc w:val="left"/>
    </w:pPr>
    <w:rPr>
      <w:rFonts w:ascii="Times New Roman" w:hAnsi="Times New Roman"/>
      <w:kern w:val="0"/>
      <w:sz w:val="24"/>
      <w:szCs w:val="22"/>
      <w:lang w:eastAsia="en-US"/>
    </w:rPr>
  </w:style>
  <w:style w:type="paragraph" w:styleId="20">
    <w:name w:val="Body Text"/>
    <w:basedOn w:val="1"/>
    <w:link w:val="167"/>
    <w:qFormat/>
    <w:uiPriority w:val="0"/>
    <w:pPr>
      <w:jc w:val="center"/>
    </w:pPr>
    <w:rPr>
      <w:sz w:val="36"/>
    </w:rPr>
  </w:style>
  <w:style w:type="paragraph" w:styleId="21">
    <w:name w:val="List Number 3"/>
    <w:basedOn w:val="1"/>
    <w:unhideWhenUsed/>
    <w:qFormat/>
    <w:uiPriority w:val="99"/>
    <w:pPr>
      <w:widowControl/>
      <w:numPr>
        <w:ilvl w:val="0"/>
        <w:numId w:val="5"/>
      </w:numPr>
      <w:tabs>
        <w:tab w:val="clear" w:pos="1080"/>
      </w:tabs>
      <w:spacing w:line="360" w:lineRule="auto"/>
      <w:ind w:left="0" w:firstLine="0"/>
      <w:contextualSpacing/>
      <w:jc w:val="left"/>
    </w:pPr>
    <w:rPr>
      <w:rFonts w:ascii="Times New Roman" w:hAnsi="Times New Roman"/>
      <w:kern w:val="0"/>
      <w:sz w:val="24"/>
      <w:szCs w:val="22"/>
      <w:lang w:eastAsia="en-US"/>
    </w:rPr>
  </w:style>
  <w:style w:type="paragraph" w:styleId="22">
    <w:name w:val="List 2"/>
    <w:basedOn w:val="1"/>
    <w:unhideWhenUsed/>
    <w:qFormat/>
    <w:uiPriority w:val="99"/>
    <w:pPr>
      <w:widowControl/>
      <w:spacing w:line="360" w:lineRule="auto"/>
      <w:ind w:left="720" w:hanging="360"/>
      <w:contextualSpacing/>
      <w:jc w:val="left"/>
    </w:pPr>
    <w:rPr>
      <w:rFonts w:ascii="Times New Roman" w:hAnsi="Times New Roman"/>
      <w:kern w:val="0"/>
      <w:sz w:val="24"/>
      <w:szCs w:val="22"/>
      <w:lang w:eastAsia="en-US"/>
    </w:rPr>
  </w:style>
  <w:style w:type="paragraph" w:styleId="23">
    <w:name w:val="List Continue"/>
    <w:basedOn w:val="1"/>
    <w:unhideWhenUsed/>
    <w:qFormat/>
    <w:uiPriority w:val="99"/>
    <w:pPr>
      <w:widowControl/>
      <w:spacing w:after="120" w:line="360" w:lineRule="auto"/>
      <w:ind w:left="360"/>
      <w:contextualSpacing/>
      <w:jc w:val="left"/>
    </w:pPr>
    <w:rPr>
      <w:rFonts w:ascii="Times New Roman" w:hAnsi="Times New Roman"/>
      <w:kern w:val="0"/>
      <w:sz w:val="24"/>
      <w:szCs w:val="22"/>
      <w:lang w:eastAsia="en-US"/>
    </w:rPr>
  </w:style>
  <w:style w:type="paragraph" w:styleId="24">
    <w:name w:val="List Bullet 2"/>
    <w:basedOn w:val="1"/>
    <w:unhideWhenUsed/>
    <w:qFormat/>
    <w:uiPriority w:val="99"/>
    <w:pPr>
      <w:widowControl/>
      <w:numPr>
        <w:ilvl w:val="0"/>
        <w:numId w:val="6"/>
      </w:numPr>
      <w:tabs>
        <w:tab w:val="clear" w:pos="720"/>
      </w:tabs>
      <w:spacing w:line="360" w:lineRule="auto"/>
      <w:ind w:left="0" w:firstLine="0"/>
      <w:contextualSpacing/>
      <w:jc w:val="left"/>
    </w:pPr>
    <w:rPr>
      <w:rFonts w:ascii="Times New Roman" w:hAnsi="Times New Roman"/>
      <w:kern w:val="0"/>
      <w:sz w:val="24"/>
      <w:szCs w:val="22"/>
      <w:lang w:eastAsia="en-US"/>
    </w:rPr>
  </w:style>
  <w:style w:type="paragraph" w:styleId="25">
    <w:name w:val="toc 3"/>
    <w:basedOn w:val="1"/>
    <w:next w:val="1"/>
    <w:unhideWhenUsed/>
    <w:qFormat/>
    <w:uiPriority w:val="39"/>
    <w:pPr>
      <w:widowControl/>
      <w:spacing w:line="360" w:lineRule="auto"/>
      <w:ind w:left="840" w:leftChars="400"/>
      <w:jc w:val="left"/>
    </w:pPr>
    <w:rPr>
      <w:rFonts w:ascii="Times New Roman" w:hAnsi="Times New Roman"/>
      <w:kern w:val="0"/>
      <w:sz w:val="24"/>
      <w:szCs w:val="22"/>
      <w:lang w:eastAsia="en-US"/>
    </w:rPr>
  </w:style>
  <w:style w:type="paragraph" w:styleId="26">
    <w:name w:val="Date"/>
    <w:basedOn w:val="1"/>
    <w:next w:val="1"/>
    <w:link w:val="179"/>
    <w:unhideWhenUsed/>
    <w:qFormat/>
    <w:uiPriority w:val="99"/>
    <w:pPr>
      <w:widowControl/>
      <w:spacing w:line="360" w:lineRule="auto"/>
      <w:ind w:left="100" w:leftChars="2500"/>
      <w:jc w:val="left"/>
    </w:pPr>
    <w:rPr>
      <w:rFonts w:ascii="Times New Roman" w:hAnsi="Times New Roman"/>
      <w:kern w:val="0"/>
      <w:sz w:val="24"/>
      <w:szCs w:val="22"/>
      <w:lang w:eastAsia="en-US"/>
    </w:rPr>
  </w:style>
  <w:style w:type="paragraph" w:styleId="27">
    <w:name w:val="footer"/>
    <w:basedOn w:val="1"/>
    <w:link w:val="164"/>
    <w:qFormat/>
    <w:uiPriority w:val="99"/>
    <w:pPr>
      <w:tabs>
        <w:tab w:val="center" w:pos="4153"/>
        <w:tab w:val="right" w:pos="8306"/>
      </w:tabs>
      <w:snapToGrid w:val="0"/>
      <w:jc w:val="left"/>
    </w:pPr>
    <w:rPr>
      <w:sz w:val="18"/>
      <w:szCs w:val="18"/>
    </w:rPr>
  </w:style>
  <w:style w:type="paragraph" w:styleId="28">
    <w:name w:val="header"/>
    <w:basedOn w:val="1"/>
    <w:link w:val="16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9">
    <w:name w:val="toc 1"/>
    <w:basedOn w:val="1"/>
    <w:next w:val="1"/>
    <w:unhideWhenUsed/>
    <w:qFormat/>
    <w:uiPriority w:val="0"/>
    <w:pPr>
      <w:widowControl/>
      <w:spacing w:line="360" w:lineRule="auto"/>
      <w:jc w:val="left"/>
    </w:pPr>
    <w:rPr>
      <w:rFonts w:ascii="Times New Roman" w:hAnsi="Times New Roman"/>
      <w:kern w:val="0"/>
      <w:sz w:val="24"/>
      <w:szCs w:val="22"/>
      <w:lang w:eastAsia="en-US"/>
    </w:rPr>
  </w:style>
  <w:style w:type="paragraph" w:styleId="30">
    <w:name w:val="Subtitle"/>
    <w:basedOn w:val="1"/>
    <w:next w:val="1"/>
    <w:link w:val="160"/>
    <w:qFormat/>
    <w:uiPriority w:val="11"/>
    <w:pPr>
      <w:widowControl/>
      <w:spacing w:line="360" w:lineRule="auto"/>
      <w:jc w:val="left"/>
    </w:pPr>
    <w:rPr>
      <w:rFonts w:asciiTheme="majorHAnsi" w:hAnsiTheme="majorHAnsi" w:eastAsiaTheme="majorEastAsia" w:cstheme="majorBidi"/>
      <w:i/>
      <w:iCs/>
      <w:color w:val="4F81BD" w:themeColor="accent1"/>
      <w:spacing w:val="15"/>
      <w:kern w:val="0"/>
      <w:sz w:val="24"/>
      <w:lang w:eastAsia="en-US"/>
      <w14:textFill>
        <w14:solidFill>
          <w14:schemeClr w14:val="accent1"/>
        </w14:solidFill>
      </w14:textFill>
    </w:rPr>
  </w:style>
  <w:style w:type="paragraph" w:styleId="31">
    <w:name w:val="List"/>
    <w:basedOn w:val="1"/>
    <w:unhideWhenUsed/>
    <w:qFormat/>
    <w:uiPriority w:val="99"/>
    <w:pPr>
      <w:widowControl/>
      <w:spacing w:line="360" w:lineRule="auto"/>
      <w:ind w:left="360" w:hanging="360"/>
      <w:contextualSpacing/>
      <w:jc w:val="left"/>
    </w:pPr>
    <w:rPr>
      <w:rFonts w:ascii="Times New Roman" w:hAnsi="Times New Roman"/>
      <w:kern w:val="0"/>
      <w:sz w:val="24"/>
      <w:szCs w:val="22"/>
      <w:lang w:eastAsia="en-US"/>
    </w:rPr>
  </w:style>
  <w:style w:type="paragraph" w:styleId="32">
    <w:name w:val="footnote text"/>
    <w:basedOn w:val="1"/>
    <w:link w:val="181"/>
    <w:unhideWhenUsed/>
    <w:qFormat/>
    <w:uiPriority w:val="99"/>
    <w:pPr>
      <w:widowControl/>
      <w:snapToGrid w:val="0"/>
      <w:spacing w:line="360" w:lineRule="auto"/>
      <w:jc w:val="left"/>
    </w:pPr>
    <w:rPr>
      <w:rFonts w:ascii="Times New Roman" w:hAnsi="Times New Roman"/>
      <w:kern w:val="0"/>
      <w:sz w:val="18"/>
      <w:szCs w:val="18"/>
      <w:lang w:eastAsia="en-US"/>
    </w:rPr>
  </w:style>
  <w:style w:type="paragraph" w:styleId="33">
    <w:name w:val="toc 2"/>
    <w:basedOn w:val="1"/>
    <w:next w:val="1"/>
    <w:unhideWhenUsed/>
    <w:qFormat/>
    <w:uiPriority w:val="0"/>
    <w:pPr>
      <w:widowControl/>
      <w:tabs>
        <w:tab w:val="right" w:leader="dot" w:pos="8302"/>
      </w:tabs>
      <w:ind w:firstLine="420" w:firstLineChars="200"/>
      <w:jc w:val="left"/>
    </w:pPr>
    <w:rPr>
      <w:rFonts w:ascii="Times New Roman" w:hAnsi="Times New Roman"/>
      <w:kern w:val="0"/>
      <w:sz w:val="24"/>
      <w:szCs w:val="22"/>
      <w:lang w:eastAsia="en-US"/>
    </w:rPr>
  </w:style>
  <w:style w:type="paragraph" w:styleId="34">
    <w:name w:val="Body Text 2"/>
    <w:basedOn w:val="1"/>
    <w:link w:val="161"/>
    <w:unhideWhenUsed/>
    <w:qFormat/>
    <w:uiPriority w:val="99"/>
    <w:pPr>
      <w:widowControl/>
      <w:spacing w:after="120" w:line="480" w:lineRule="auto"/>
      <w:jc w:val="left"/>
    </w:pPr>
    <w:rPr>
      <w:rFonts w:ascii="Times New Roman" w:hAnsi="Times New Roman"/>
      <w:kern w:val="0"/>
      <w:sz w:val="24"/>
      <w:szCs w:val="22"/>
      <w:lang w:eastAsia="en-US"/>
    </w:rPr>
  </w:style>
  <w:style w:type="paragraph" w:styleId="35">
    <w:name w:val="List Continue 2"/>
    <w:basedOn w:val="1"/>
    <w:unhideWhenUsed/>
    <w:qFormat/>
    <w:uiPriority w:val="99"/>
    <w:pPr>
      <w:widowControl/>
      <w:spacing w:after="120" w:line="360" w:lineRule="auto"/>
      <w:ind w:left="720"/>
      <w:contextualSpacing/>
      <w:jc w:val="left"/>
    </w:pPr>
    <w:rPr>
      <w:rFonts w:ascii="Times New Roman" w:hAnsi="Times New Roman"/>
      <w:kern w:val="0"/>
      <w:sz w:val="24"/>
      <w:szCs w:val="22"/>
      <w:lang w:eastAsia="en-US"/>
    </w:rPr>
  </w:style>
  <w:style w:type="paragraph" w:styleId="36">
    <w:name w:val="Normal (Web)"/>
    <w:basedOn w:val="1"/>
    <w:unhideWhenUsed/>
    <w:qFormat/>
    <w:uiPriority w:val="0"/>
    <w:pPr>
      <w:widowControl/>
      <w:spacing w:line="360" w:lineRule="auto"/>
      <w:jc w:val="left"/>
    </w:pPr>
    <w:rPr>
      <w:rFonts w:ascii="Times New Roman" w:hAnsi="Times New Roman"/>
      <w:kern w:val="0"/>
      <w:sz w:val="24"/>
      <w:lang w:eastAsia="en-US"/>
    </w:rPr>
  </w:style>
  <w:style w:type="paragraph" w:styleId="37">
    <w:name w:val="List Continue 3"/>
    <w:basedOn w:val="1"/>
    <w:unhideWhenUsed/>
    <w:qFormat/>
    <w:uiPriority w:val="99"/>
    <w:pPr>
      <w:widowControl/>
      <w:spacing w:after="120" w:line="360" w:lineRule="auto"/>
      <w:ind w:left="1080"/>
      <w:contextualSpacing/>
      <w:jc w:val="left"/>
    </w:pPr>
    <w:rPr>
      <w:rFonts w:ascii="Times New Roman" w:hAnsi="Times New Roman"/>
      <w:kern w:val="0"/>
      <w:sz w:val="24"/>
      <w:szCs w:val="22"/>
      <w:lang w:eastAsia="en-US"/>
    </w:rPr>
  </w:style>
  <w:style w:type="paragraph" w:styleId="38">
    <w:name w:val="Title"/>
    <w:basedOn w:val="1"/>
    <w:next w:val="1"/>
    <w:link w:val="162"/>
    <w:qFormat/>
    <w:uiPriority w:val="10"/>
    <w:pPr>
      <w:widowControl/>
      <w:pBdr>
        <w:bottom w:val="single" w:color="4F81BD" w:themeColor="accent1" w:sz="8" w:space="4"/>
      </w:pBdr>
      <w:spacing w:after="300"/>
      <w:contextualSpacing/>
      <w:jc w:val="left"/>
    </w:pPr>
    <w:rPr>
      <w:rFonts w:asciiTheme="majorHAnsi" w:hAnsiTheme="majorHAnsi" w:eastAsiaTheme="majorEastAsia" w:cstheme="majorBidi"/>
      <w:color w:val="17375E" w:themeColor="text2" w:themeShade="BF"/>
      <w:spacing w:val="5"/>
      <w:kern w:val="28"/>
      <w:sz w:val="52"/>
      <w:szCs w:val="52"/>
      <w:lang w:eastAsia="en-US"/>
    </w:rPr>
  </w:style>
  <w:style w:type="paragraph" w:styleId="39">
    <w:name w:val="annotation subject"/>
    <w:basedOn w:val="17"/>
    <w:next w:val="17"/>
    <w:link w:val="185"/>
    <w:unhideWhenUsed/>
    <w:qFormat/>
    <w:uiPriority w:val="99"/>
    <w:rPr>
      <w:b/>
      <w:bCs/>
    </w:rPr>
  </w:style>
  <w:style w:type="table" w:styleId="41">
    <w:name w:val="Table Grid"/>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2">
    <w:name w:val="Light Shading"/>
    <w:basedOn w:val="40"/>
    <w:qFormat/>
    <w:uiPriority w:val="60"/>
    <w:rPr>
      <w:rFonts w:asciiTheme="minorHAnsi" w:hAnsiTheme="minorHAnsi" w:eastAsiaTheme="minorEastAsia" w:cstheme="minorBidi"/>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43">
    <w:name w:val="Light Shading Accent 1"/>
    <w:basedOn w:val="40"/>
    <w:qFormat/>
    <w:uiPriority w:val="60"/>
    <w:rPr>
      <w:rFonts w:asciiTheme="minorHAnsi" w:hAnsiTheme="minorHAnsi" w:eastAsiaTheme="minorEastAsia" w:cstheme="minorBidi"/>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4">
    <w:name w:val="Light Shading Accent 2"/>
    <w:basedOn w:val="40"/>
    <w:qFormat/>
    <w:uiPriority w:val="60"/>
    <w:rPr>
      <w:rFonts w:asciiTheme="minorHAnsi" w:hAnsiTheme="minorHAnsi" w:eastAsiaTheme="minorEastAsia" w:cstheme="minorBidi"/>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5">
    <w:name w:val="Light Shading Accent 3"/>
    <w:basedOn w:val="40"/>
    <w:qFormat/>
    <w:uiPriority w:val="60"/>
    <w:rPr>
      <w:rFonts w:asciiTheme="minorHAnsi" w:hAnsiTheme="minorHAnsi" w:eastAsiaTheme="minorEastAsia" w:cstheme="minorBidi"/>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6">
    <w:name w:val="Light Shading Accent 4"/>
    <w:basedOn w:val="40"/>
    <w:qFormat/>
    <w:uiPriority w:val="60"/>
    <w:rPr>
      <w:rFonts w:asciiTheme="minorHAnsi" w:hAnsiTheme="minorHAnsi" w:eastAsiaTheme="minorEastAsia" w:cstheme="minorBidi"/>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7">
    <w:name w:val="Light Shading Accent 5"/>
    <w:basedOn w:val="40"/>
    <w:qFormat/>
    <w:uiPriority w:val="60"/>
    <w:rPr>
      <w:rFonts w:asciiTheme="minorHAnsi" w:hAnsiTheme="minorHAnsi" w:eastAsiaTheme="minorEastAsia" w:cstheme="minorBidi"/>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8">
    <w:name w:val="Light Shading Accent 6"/>
    <w:basedOn w:val="40"/>
    <w:qFormat/>
    <w:uiPriority w:val="60"/>
    <w:rPr>
      <w:rFonts w:asciiTheme="minorHAnsi" w:hAnsiTheme="minorHAnsi" w:eastAsiaTheme="minorEastAsia" w:cstheme="minorBidi"/>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9">
    <w:name w:val="Light List"/>
    <w:basedOn w:val="40"/>
    <w:qFormat/>
    <w:uiPriority w:val="61"/>
    <w:rPr>
      <w:rFonts w:asciiTheme="minorHAnsi" w:hAnsiTheme="minorHAnsi" w:eastAsiaTheme="minorEastAsia" w:cstheme="minorBidi"/>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50">
    <w:name w:val="Light List Accent 1"/>
    <w:basedOn w:val="40"/>
    <w:qFormat/>
    <w:uiPriority w:val="61"/>
    <w:rPr>
      <w:rFonts w:asciiTheme="minorHAnsi" w:hAnsiTheme="minorHAnsi" w:eastAsiaTheme="minorEastAsia" w:cstheme="minorBidi"/>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51">
    <w:name w:val="Light List Accent 2"/>
    <w:basedOn w:val="40"/>
    <w:qFormat/>
    <w:uiPriority w:val="61"/>
    <w:rPr>
      <w:rFonts w:asciiTheme="minorHAnsi" w:hAnsiTheme="minorHAnsi" w:eastAsiaTheme="minorEastAsia" w:cstheme="minorBidi"/>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52">
    <w:name w:val="Light List Accent 3"/>
    <w:basedOn w:val="40"/>
    <w:qFormat/>
    <w:uiPriority w:val="61"/>
    <w:rPr>
      <w:rFonts w:asciiTheme="minorHAnsi" w:hAnsiTheme="minorHAnsi" w:eastAsiaTheme="minorEastAsia" w:cstheme="minorBidi"/>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53">
    <w:name w:val="Light List Accent 4"/>
    <w:basedOn w:val="40"/>
    <w:qFormat/>
    <w:uiPriority w:val="61"/>
    <w:rPr>
      <w:rFonts w:asciiTheme="minorHAnsi" w:hAnsiTheme="minorHAnsi" w:eastAsiaTheme="minorEastAsia" w:cstheme="minorBidi"/>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4">
    <w:name w:val="Light List Accent 5"/>
    <w:basedOn w:val="40"/>
    <w:qFormat/>
    <w:uiPriority w:val="61"/>
    <w:rPr>
      <w:rFonts w:asciiTheme="minorHAnsi" w:hAnsiTheme="minorHAnsi" w:eastAsiaTheme="minorEastAsia" w:cstheme="minorBidi"/>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5">
    <w:name w:val="Light List Accent 6"/>
    <w:basedOn w:val="40"/>
    <w:qFormat/>
    <w:uiPriority w:val="61"/>
    <w:rPr>
      <w:rFonts w:asciiTheme="minorHAnsi" w:hAnsiTheme="minorHAnsi" w:eastAsiaTheme="minorEastAsia" w:cstheme="minorBidi"/>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6">
    <w:name w:val="Light Grid"/>
    <w:basedOn w:val="40"/>
    <w:qFormat/>
    <w:uiPriority w:val="62"/>
    <w:rPr>
      <w:rFonts w:asciiTheme="minorHAnsi" w:hAnsiTheme="minorHAnsi" w:eastAsiaTheme="minorEastAsia" w:cstheme="minorBidi"/>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7">
    <w:name w:val="Light Grid Accent 1"/>
    <w:basedOn w:val="40"/>
    <w:qFormat/>
    <w:uiPriority w:val="62"/>
    <w:rPr>
      <w:rFonts w:asciiTheme="minorHAnsi" w:hAnsiTheme="minorHAnsi" w:eastAsiaTheme="minorEastAsia" w:cstheme="minorBidi"/>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8">
    <w:name w:val="Light Grid Accent 2"/>
    <w:basedOn w:val="40"/>
    <w:qFormat/>
    <w:uiPriority w:val="62"/>
    <w:rPr>
      <w:rFonts w:asciiTheme="minorHAnsi" w:hAnsiTheme="minorHAnsi" w:eastAsiaTheme="minorEastAsia" w:cstheme="minorBidi"/>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9">
    <w:name w:val="Light Grid Accent 3"/>
    <w:basedOn w:val="40"/>
    <w:qFormat/>
    <w:uiPriority w:val="62"/>
    <w:rPr>
      <w:rFonts w:asciiTheme="minorHAnsi" w:hAnsiTheme="minorHAnsi" w:eastAsiaTheme="minorEastAsia" w:cstheme="minorBidi"/>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60">
    <w:name w:val="Light Grid Accent 4"/>
    <w:basedOn w:val="40"/>
    <w:qFormat/>
    <w:uiPriority w:val="62"/>
    <w:rPr>
      <w:rFonts w:asciiTheme="minorHAnsi" w:hAnsiTheme="minorHAnsi" w:eastAsiaTheme="minorEastAsia" w:cstheme="minorBidi"/>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61">
    <w:name w:val="Light Grid Accent 5"/>
    <w:basedOn w:val="40"/>
    <w:qFormat/>
    <w:uiPriority w:val="62"/>
    <w:rPr>
      <w:rFonts w:asciiTheme="minorHAnsi" w:hAnsiTheme="minorHAnsi" w:eastAsiaTheme="minorEastAsia" w:cstheme="minorBidi"/>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62">
    <w:name w:val="Light Grid Accent 6"/>
    <w:basedOn w:val="40"/>
    <w:qFormat/>
    <w:uiPriority w:val="62"/>
    <w:rPr>
      <w:rFonts w:asciiTheme="minorHAnsi" w:hAnsiTheme="minorHAnsi" w:eastAsiaTheme="minorEastAsia" w:cstheme="minorBidi"/>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63">
    <w:name w:val="Medium Shading 1"/>
    <w:basedOn w:val="40"/>
    <w:qFormat/>
    <w:uiPriority w:val="63"/>
    <w:rPr>
      <w:rFonts w:asciiTheme="minorHAnsi" w:hAnsiTheme="minorHAnsi" w:eastAsiaTheme="minorEastAsia" w:cstheme="minorBidi"/>
    </w:r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64">
    <w:name w:val="Medium Shading 1 Accent 1"/>
    <w:basedOn w:val="40"/>
    <w:qFormat/>
    <w:uiPriority w:val="63"/>
    <w:rPr>
      <w:rFonts w:asciiTheme="minorHAnsi" w:hAnsiTheme="minorHAnsi" w:eastAsiaTheme="minorEastAsia" w:cstheme="minorBidi"/>
    </w:r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5">
    <w:name w:val="Medium Shading 1 Accent 2"/>
    <w:basedOn w:val="40"/>
    <w:qFormat/>
    <w:uiPriority w:val="63"/>
    <w:rPr>
      <w:rFonts w:asciiTheme="minorHAnsi" w:hAnsiTheme="minorHAnsi" w:eastAsiaTheme="minorEastAsia" w:cstheme="minorBidi"/>
    </w:r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6">
    <w:name w:val="Medium Shading 1 Accent 3"/>
    <w:basedOn w:val="40"/>
    <w:qFormat/>
    <w:uiPriority w:val="63"/>
    <w:rPr>
      <w:rFonts w:asciiTheme="minorHAnsi" w:hAnsiTheme="minorHAnsi" w:eastAsiaTheme="minorEastAsia" w:cstheme="minorBidi"/>
    </w:r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7">
    <w:name w:val="Medium Shading 1 Accent 4"/>
    <w:basedOn w:val="40"/>
    <w:qFormat/>
    <w:uiPriority w:val="63"/>
    <w:rPr>
      <w:rFonts w:asciiTheme="minorHAnsi" w:hAnsiTheme="minorHAnsi" w:eastAsiaTheme="minorEastAsia" w:cstheme="minorBidi"/>
    </w:r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8">
    <w:name w:val="Medium Shading 1 Accent 5"/>
    <w:basedOn w:val="40"/>
    <w:qFormat/>
    <w:uiPriority w:val="63"/>
    <w:rPr>
      <w:rFonts w:asciiTheme="minorHAnsi" w:hAnsiTheme="minorHAnsi" w:eastAsiaTheme="minorEastAsia" w:cstheme="minorBidi"/>
    </w:r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9">
    <w:name w:val="Medium Shading 1 Accent 6"/>
    <w:basedOn w:val="40"/>
    <w:qFormat/>
    <w:uiPriority w:val="63"/>
    <w:rPr>
      <w:rFonts w:asciiTheme="minorHAnsi" w:hAnsiTheme="minorHAnsi" w:eastAsiaTheme="minorEastAsia" w:cstheme="minorBidi"/>
    </w:r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70">
    <w:name w:val="Medium Shading 2"/>
    <w:basedOn w:val="40"/>
    <w:qFormat/>
    <w:uiPriority w:val="64"/>
    <w:rPr>
      <w:rFonts w:asciiTheme="minorHAnsi" w:hAnsiTheme="minorHAnsi" w:eastAsiaTheme="minorEastAsia" w:cstheme="minorBidi"/>
    </w:r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1"/>
    <w:basedOn w:val="40"/>
    <w:qFormat/>
    <w:uiPriority w:val="64"/>
    <w:rPr>
      <w:rFonts w:asciiTheme="minorHAnsi" w:hAnsiTheme="minorHAnsi" w:eastAsiaTheme="minorEastAsia" w:cstheme="minorBidi"/>
    </w:r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Shading 2 Accent 2"/>
    <w:basedOn w:val="40"/>
    <w:qFormat/>
    <w:uiPriority w:val="64"/>
    <w:rPr>
      <w:rFonts w:asciiTheme="minorHAnsi" w:hAnsiTheme="minorHAnsi" w:eastAsiaTheme="minorEastAsia" w:cstheme="minorBidi"/>
    </w:r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3">
    <w:name w:val="Medium Shading 2 Accent 3"/>
    <w:basedOn w:val="40"/>
    <w:qFormat/>
    <w:uiPriority w:val="64"/>
    <w:rPr>
      <w:rFonts w:asciiTheme="minorHAnsi" w:hAnsiTheme="minorHAnsi" w:eastAsiaTheme="minorEastAsia" w:cstheme="minorBidi"/>
    </w:r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4">
    <w:name w:val="Medium Shading 2 Accent 4"/>
    <w:basedOn w:val="40"/>
    <w:qFormat/>
    <w:uiPriority w:val="64"/>
    <w:rPr>
      <w:rFonts w:asciiTheme="minorHAnsi" w:hAnsiTheme="minorHAnsi" w:eastAsiaTheme="minorEastAsia" w:cstheme="minorBidi"/>
    </w:r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5">
    <w:name w:val="Medium Shading 2 Accent 5"/>
    <w:basedOn w:val="40"/>
    <w:qFormat/>
    <w:uiPriority w:val="64"/>
    <w:rPr>
      <w:rFonts w:asciiTheme="minorHAnsi" w:hAnsiTheme="minorHAnsi" w:eastAsiaTheme="minorEastAsia" w:cstheme="minorBidi"/>
    </w:r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6">
    <w:name w:val="Medium Shading 2 Accent 6"/>
    <w:basedOn w:val="40"/>
    <w:qFormat/>
    <w:uiPriority w:val="64"/>
    <w:rPr>
      <w:rFonts w:asciiTheme="minorHAnsi" w:hAnsiTheme="minorHAnsi" w:eastAsiaTheme="minorEastAsia" w:cstheme="minorBidi"/>
    </w:r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7">
    <w:name w:val="Medium List 1"/>
    <w:basedOn w:val="40"/>
    <w:qFormat/>
    <w:uiPriority w:val="65"/>
    <w:rPr>
      <w:rFonts w:asciiTheme="minorHAnsi" w:hAnsiTheme="minorHAnsi" w:eastAsiaTheme="minorEastAsia" w:cstheme="minorBidi"/>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8">
    <w:name w:val="Medium List 1 Accent 1"/>
    <w:basedOn w:val="40"/>
    <w:qFormat/>
    <w:uiPriority w:val="65"/>
    <w:rPr>
      <w:rFonts w:asciiTheme="minorHAnsi" w:hAnsiTheme="minorHAnsi" w:eastAsiaTheme="minorEastAsia" w:cstheme="minorBidi"/>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9">
    <w:name w:val="Medium List 1 Accent 2"/>
    <w:basedOn w:val="40"/>
    <w:qFormat/>
    <w:uiPriority w:val="65"/>
    <w:rPr>
      <w:rFonts w:asciiTheme="minorHAnsi" w:hAnsiTheme="minorHAnsi" w:eastAsiaTheme="minorEastAsia" w:cstheme="minorBidi"/>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80">
    <w:name w:val="Medium List 1 Accent 3"/>
    <w:basedOn w:val="40"/>
    <w:qFormat/>
    <w:uiPriority w:val="65"/>
    <w:rPr>
      <w:rFonts w:asciiTheme="minorHAnsi" w:hAnsiTheme="minorHAnsi" w:eastAsiaTheme="minorEastAsia" w:cstheme="minorBidi"/>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81">
    <w:name w:val="Medium List 1 Accent 4"/>
    <w:basedOn w:val="40"/>
    <w:qFormat/>
    <w:uiPriority w:val="65"/>
    <w:rPr>
      <w:rFonts w:asciiTheme="minorHAnsi" w:hAnsiTheme="minorHAnsi" w:eastAsiaTheme="minorEastAsia" w:cstheme="minorBidi"/>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82">
    <w:name w:val="Medium List 1 Accent 5"/>
    <w:basedOn w:val="40"/>
    <w:qFormat/>
    <w:uiPriority w:val="65"/>
    <w:rPr>
      <w:rFonts w:asciiTheme="minorHAnsi" w:hAnsiTheme="minorHAnsi" w:eastAsiaTheme="minorEastAsia" w:cstheme="minorBidi"/>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83">
    <w:name w:val="Medium List 1 Accent 6"/>
    <w:basedOn w:val="40"/>
    <w:qFormat/>
    <w:uiPriority w:val="65"/>
    <w:rPr>
      <w:rFonts w:asciiTheme="minorHAnsi" w:hAnsiTheme="minorHAnsi" w:eastAsiaTheme="minorEastAsia" w:cstheme="minorBidi"/>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84">
    <w:name w:val="Medium List 2"/>
    <w:basedOn w:val="40"/>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1"/>
    <w:basedOn w:val="40"/>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List 2 Accent 2"/>
    <w:basedOn w:val="40"/>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List 2 Accent 3"/>
    <w:basedOn w:val="40"/>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8">
    <w:name w:val="Medium List 2 Accent 4"/>
    <w:basedOn w:val="40"/>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9">
    <w:name w:val="Medium List 2 Accent 5"/>
    <w:basedOn w:val="40"/>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90">
    <w:name w:val="Medium List 2 Accent 6"/>
    <w:basedOn w:val="40"/>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91">
    <w:name w:val="Medium Grid 1"/>
    <w:basedOn w:val="40"/>
    <w:qFormat/>
    <w:uiPriority w:val="67"/>
    <w:rPr>
      <w:rFonts w:asciiTheme="minorHAnsi" w:hAnsiTheme="minorHAnsi" w:eastAsiaTheme="minorEastAsia" w:cstheme="minorBidi"/>
    </w:r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92">
    <w:name w:val="Medium Grid 1 Accent 1"/>
    <w:basedOn w:val="40"/>
    <w:qFormat/>
    <w:uiPriority w:val="67"/>
    <w:rPr>
      <w:rFonts w:asciiTheme="minorHAnsi" w:hAnsiTheme="minorHAnsi" w:eastAsiaTheme="minorEastAsia" w:cstheme="minorBidi"/>
    </w:r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93">
    <w:name w:val="Medium Grid 1 Accent 2"/>
    <w:basedOn w:val="40"/>
    <w:qFormat/>
    <w:uiPriority w:val="67"/>
    <w:rPr>
      <w:rFonts w:asciiTheme="minorHAnsi" w:hAnsiTheme="minorHAnsi" w:eastAsiaTheme="minorEastAsia" w:cstheme="minorBidi"/>
    </w:r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4">
    <w:name w:val="Medium Grid 1 Accent 3"/>
    <w:basedOn w:val="40"/>
    <w:qFormat/>
    <w:uiPriority w:val="67"/>
    <w:rPr>
      <w:rFonts w:asciiTheme="minorHAnsi" w:hAnsiTheme="minorHAnsi" w:eastAsiaTheme="minorEastAsia" w:cstheme="minorBidi"/>
    </w:r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5">
    <w:name w:val="Medium Grid 1 Accent 4"/>
    <w:basedOn w:val="40"/>
    <w:qFormat/>
    <w:uiPriority w:val="67"/>
    <w:rPr>
      <w:rFonts w:asciiTheme="minorHAnsi" w:hAnsiTheme="minorHAnsi" w:eastAsiaTheme="minorEastAsia" w:cstheme="minorBidi"/>
    </w:r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6">
    <w:name w:val="Medium Grid 1 Accent 5"/>
    <w:basedOn w:val="40"/>
    <w:qFormat/>
    <w:uiPriority w:val="67"/>
    <w:rPr>
      <w:rFonts w:asciiTheme="minorHAnsi" w:hAnsiTheme="minorHAnsi" w:eastAsiaTheme="minorEastAsia" w:cstheme="minorBidi"/>
    </w:r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7">
    <w:name w:val="Medium Grid 1 Accent 6"/>
    <w:basedOn w:val="40"/>
    <w:qFormat/>
    <w:uiPriority w:val="67"/>
    <w:rPr>
      <w:rFonts w:asciiTheme="minorHAnsi" w:hAnsiTheme="minorHAnsi" w:eastAsiaTheme="minorEastAsia" w:cstheme="minorBidi"/>
    </w:r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8">
    <w:name w:val="Medium Grid 2"/>
    <w:basedOn w:val="40"/>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9">
    <w:name w:val="Medium Grid 2 Accent 1"/>
    <w:basedOn w:val="40"/>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100">
    <w:name w:val="Medium Grid 2 Accent 2"/>
    <w:basedOn w:val="40"/>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101">
    <w:name w:val="Medium Grid 2 Accent 3"/>
    <w:basedOn w:val="40"/>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102">
    <w:name w:val="Medium Grid 2 Accent 4"/>
    <w:basedOn w:val="40"/>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103">
    <w:name w:val="Medium Grid 2 Accent 5"/>
    <w:basedOn w:val="40"/>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04">
    <w:name w:val="Medium Grid 2 Accent 6"/>
    <w:basedOn w:val="40"/>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5">
    <w:name w:val="Medium Grid 3"/>
    <w:basedOn w:val="40"/>
    <w:qFormat/>
    <w:uiPriority w:val="69"/>
    <w:rPr>
      <w:rFonts w:asciiTheme="minorHAnsi" w:hAnsiTheme="minorHAnsi" w:eastAsiaTheme="minorEastAsia" w:cstheme="minorBidi"/>
    </w:r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6">
    <w:name w:val="Medium Grid 3 Accent 1"/>
    <w:basedOn w:val="40"/>
    <w:qFormat/>
    <w:uiPriority w:val="69"/>
    <w:rPr>
      <w:rFonts w:asciiTheme="minorHAnsi" w:hAnsiTheme="minorHAnsi" w:eastAsiaTheme="minorEastAsia" w:cstheme="minorBidi"/>
    </w:r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7">
    <w:name w:val="Medium Grid 3 Accent 2"/>
    <w:basedOn w:val="40"/>
    <w:qFormat/>
    <w:uiPriority w:val="69"/>
    <w:rPr>
      <w:rFonts w:asciiTheme="minorHAnsi" w:hAnsiTheme="minorHAnsi" w:eastAsiaTheme="minorEastAsia" w:cstheme="minorBidi"/>
    </w:r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8">
    <w:name w:val="Medium Grid 3 Accent 3"/>
    <w:basedOn w:val="40"/>
    <w:qFormat/>
    <w:uiPriority w:val="69"/>
    <w:rPr>
      <w:rFonts w:asciiTheme="minorHAnsi" w:hAnsiTheme="minorHAnsi" w:eastAsiaTheme="minorEastAsia" w:cstheme="minorBidi"/>
    </w:r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9">
    <w:name w:val="Medium Grid 3 Accent 4"/>
    <w:basedOn w:val="40"/>
    <w:qFormat/>
    <w:uiPriority w:val="69"/>
    <w:rPr>
      <w:rFonts w:asciiTheme="minorHAnsi" w:hAnsiTheme="minorHAnsi" w:eastAsiaTheme="minorEastAsia" w:cstheme="minorBidi"/>
    </w:r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10">
    <w:name w:val="Medium Grid 3 Accent 5"/>
    <w:basedOn w:val="40"/>
    <w:qFormat/>
    <w:uiPriority w:val="69"/>
    <w:rPr>
      <w:rFonts w:asciiTheme="minorHAnsi" w:hAnsiTheme="minorHAnsi" w:eastAsiaTheme="minorEastAsia" w:cstheme="minorBidi"/>
    </w:r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11">
    <w:name w:val="Medium Grid 3 Accent 6"/>
    <w:basedOn w:val="40"/>
    <w:qFormat/>
    <w:uiPriority w:val="69"/>
    <w:rPr>
      <w:rFonts w:asciiTheme="minorHAnsi" w:hAnsiTheme="minorHAnsi" w:eastAsiaTheme="minorEastAsia" w:cstheme="minorBidi"/>
    </w:r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12">
    <w:name w:val="Dark List"/>
    <w:basedOn w:val="40"/>
    <w:qFormat/>
    <w:uiPriority w:val="70"/>
    <w:rPr>
      <w:rFonts w:asciiTheme="minorHAnsi" w:hAnsiTheme="minorHAnsi" w:eastAsiaTheme="minorEastAsia" w:cstheme="minorBidi"/>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3">
    <w:name w:val="Dark List Accent 1"/>
    <w:basedOn w:val="40"/>
    <w:qFormat/>
    <w:uiPriority w:val="70"/>
    <w:rPr>
      <w:rFonts w:asciiTheme="minorHAnsi" w:hAnsiTheme="minorHAnsi" w:eastAsiaTheme="minorEastAsia" w:cstheme="minorBidi"/>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14">
    <w:name w:val="Dark List Accent 2"/>
    <w:basedOn w:val="40"/>
    <w:qFormat/>
    <w:uiPriority w:val="70"/>
    <w:rPr>
      <w:rFonts w:asciiTheme="minorHAnsi" w:hAnsiTheme="minorHAnsi" w:eastAsiaTheme="minorEastAsia" w:cstheme="minorBidi"/>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5">
    <w:name w:val="Dark List Accent 3"/>
    <w:basedOn w:val="40"/>
    <w:qFormat/>
    <w:uiPriority w:val="70"/>
    <w:rPr>
      <w:rFonts w:asciiTheme="minorHAnsi" w:hAnsiTheme="minorHAnsi" w:eastAsiaTheme="minorEastAsia" w:cstheme="minorBidi"/>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6">
    <w:name w:val="Dark List Accent 4"/>
    <w:basedOn w:val="40"/>
    <w:qFormat/>
    <w:uiPriority w:val="70"/>
    <w:rPr>
      <w:rFonts w:asciiTheme="minorHAnsi" w:hAnsiTheme="minorHAnsi" w:eastAsiaTheme="minorEastAsia" w:cstheme="minorBidi"/>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7">
    <w:name w:val="Dark List Accent 5"/>
    <w:basedOn w:val="40"/>
    <w:qFormat/>
    <w:uiPriority w:val="70"/>
    <w:rPr>
      <w:rFonts w:asciiTheme="minorHAnsi" w:hAnsiTheme="minorHAnsi" w:eastAsiaTheme="minorEastAsia" w:cstheme="minorBidi"/>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8">
    <w:name w:val="Dark List Accent 6"/>
    <w:basedOn w:val="40"/>
    <w:qFormat/>
    <w:uiPriority w:val="70"/>
    <w:rPr>
      <w:rFonts w:asciiTheme="minorHAnsi" w:hAnsiTheme="minorHAnsi" w:eastAsiaTheme="minorEastAsia" w:cstheme="minorBidi"/>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9">
    <w:name w:val="Colorful Shading"/>
    <w:basedOn w:val="40"/>
    <w:qFormat/>
    <w:uiPriority w:val="71"/>
    <w:rPr>
      <w:rFonts w:asciiTheme="minorHAnsi" w:hAnsiTheme="minorHAnsi" w:eastAsiaTheme="minorEastAsia" w:cstheme="minorBidi"/>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1"/>
    <w:basedOn w:val="40"/>
    <w:qFormat/>
    <w:uiPriority w:val="71"/>
    <w:rPr>
      <w:rFonts w:asciiTheme="minorHAnsi" w:hAnsiTheme="minorHAnsi" w:eastAsiaTheme="minorEastAsia" w:cstheme="minorBidi"/>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Shading Accent 2"/>
    <w:basedOn w:val="40"/>
    <w:qFormat/>
    <w:uiPriority w:val="71"/>
    <w:rPr>
      <w:rFonts w:asciiTheme="minorHAnsi" w:hAnsiTheme="minorHAnsi" w:eastAsiaTheme="minorEastAsia" w:cstheme="minorBidi"/>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2">
    <w:name w:val="Colorful Shading Accent 3"/>
    <w:basedOn w:val="40"/>
    <w:qFormat/>
    <w:uiPriority w:val="71"/>
    <w:rPr>
      <w:rFonts w:asciiTheme="minorHAnsi" w:hAnsiTheme="minorHAnsi" w:eastAsiaTheme="minorEastAsia" w:cstheme="minorBidi"/>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3">
    <w:name w:val="Colorful Shading Accent 4"/>
    <w:basedOn w:val="40"/>
    <w:qFormat/>
    <w:uiPriority w:val="71"/>
    <w:rPr>
      <w:rFonts w:asciiTheme="minorHAnsi" w:hAnsiTheme="minorHAnsi" w:eastAsiaTheme="minorEastAsia" w:cstheme="minorBidi"/>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4">
    <w:name w:val="Colorful Shading Accent 5"/>
    <w:basedOn w:val="40"/>
    <w:qFormat/>
    <w:uiPriority w:val="71"/>
    <w:rPr>
      <w:rFonts w:asciiTheme="minorHAnsi" w:hAnsiTheme="minorHAnsi" w:eastAsiaTheme="minorEastAsia" w:cstheme="minorBidi"/>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5">
    <w:name w:val="Colorful Shading Accent 6"/>
    <w:basedOn w:val="40"/>
    <w:qFormat/>
    <w:uiPriority w:val="71"/>
    <w:rPr>
      <w:rFonts w:asciiTheme="minorHAnsi" w:hAnsiTheme="minorHAnsi" w:eastAsiaTheme="minorEastAsia" w:cstheme="minorBidi"/>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6">
    <w:name w:val="Colorful List"/>
    <w:basedOn w:val="40"/>
    <w:qFormat/>
    <w:uiPriority w:val="72"/>
    <w:rPr>
      <w:rFonts w:asciiTheme="minorHAnsi" w:hAnsiTheme="minorHAnsi" w:eastAsiaTheme="minorEastAsia" w:cstheme="minorBidi"/>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7">
    <w:name w:val="Colorful List Accent 1"/>
    <w:basedOn w:val="40"/>
    <w:qFormat/>
    <w:uiPriority w:val="72"/>
    <w:rPr>
      <w:rFonts w:asciiTheme="minorHAnsi" w:hAnsiTheme="minorHAnsi" w:eastAsiaTheme="minorEastAsia" w:cstheme="minorBidi"/>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8">
    <w:name w:val="Colorful List Accent 2"/>
    <w:basedOn w:val="40"/>
    <w:qFormat/>
    <w:uiPriority w:val="72"/>
    <w:rPr>
      <w:rFonts w:asciiTheme="minorHAnsi" w:hAnsiTheme="minorHAnsi" w:eastAsiaTheme="minorEastAsia" w:cstheme="minorBidi"/>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9">
    <w:name w:val="Colorful List Accent 3"/>
    <w:basedOn w:val="40"/>
    <w:qFormat/>
    <w:uiPriority w:val="72"/>
    <w:rPr>
      <w:rFonts w:asciiTheme="minorHAnsi" w:hAnsiTheme="minorHAnsi" w:eastAsiaTheme="minorEastAsia" w:cstheme="minorBidi"/>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0">
    <w:name w:val="Colorful List Accent 4"/>
    <w:basedOn w:val="40"/>
    <w:qFormat/>
    <w:uiPriority w:val="72"/>
    <w:rPr>
      <w:rFonts w:asciiTheme="minorHAnsi" w:hAnsiTheme="minorHAnsi" w:eastAsiaTheme="minorEastAsia" w:cstheme="minorBidi"/>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1">
    <w:name w:val="Colorful List Accent 5"/>
    <w:basedOn w:val="40"/>
    <w:qFormat/>
    <w:uiPriority w:val="72"/>
    <w:rPr>
      <w:rFonts w:asciiTheme="minorHAnsi" w:hAnsiTheme="minorHAnsi" w:eastAsiaTheme="minorEastAsia" w:cstheme="minorBidi"/>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32">
    <w:name w:val="Colorful List Accent 6"/>
    <w:basedOn w:val="40"/>
    <w:qFormat/>
    <w:uiPriority w:val="72"/>
    <w:rPr>
      <w:rFonts w:asciiTheme="minorHAnsi" w:hAnsiTheme="minorHAnsi" w:eastAsiaTheme="minorEastAsia" w:cstheme="minorBidi"/>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33">
    <w:name w:val="Colorful Grid"/>
    <w:basedOn w:val="40"/>
    <w:qFormat/>
    <w:uiPriority w:val="73"/>
    <w:rPr>
      <w:rFonts w:asciiTheme="minorHAnsi" w:hAnsiTheme="minorHAnsi" w:eastAsiaTheme="minorEastAsia" w:cstheme="minorBidi"/>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34">
    <w:name w:val="Colorful Grid Accent 1"/>
    <w:basedOn w:val="40"/>
    <w:qFormat/>
    <w:uiPriority w:val="73"/>
    <w:rPr>
      <w:rFonts w:asciiTheme="minorHAnsi" w:hAnsiTheme="minorHAnsi" w:eastAsiaTheme="minorEastAsia" w:cstheme="minorBidi"/>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5">
    <w:name w:val="Colorful Grid Accent 2"/>
    <w:basedOn w:val="40"/>
    <w:qFormat/>
    <w:uiPriority w:val="73"/>
    <w:rPr>
      <w:rFonts w:asciiTheme="minorHAnsi" w:hAnsiTheme="minorHAnsi" w:eastAsiaTheme="minorEastAsia" w:cstheme="minorBidi"/>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6">
    <w:name w:val="Colorful Grid Accent 3"/>
    <w:basedOn w:val="40"/>
    <w:qFormat/>
    <w:uiPriority w:val="73"/>
    <w:rPr>
      <w:rFonts w:asciiTheme="minorHAnsi" w:hAnsiTheme="minorHAnsi" w:eastAsiaTheme="minorEastAsia" w:cstheme="minorBidi"/>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7">
    <w:name w:val="Colorful Grid Accent 4"/>
    <w:basedOn w:val="40"/>
    <w:qFormat/>
    <w:uiPriority w:val="73"/>
    <w:rPr>
      <w:rFonts w:asciiTheme="minorHAnsi" w:hAnsiTheme="minorHAnsi" w:eastAsiaTheme="minorEastAsia" w:cstheme="minorBidi"/>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8">
    <w:name w:val="Colorful Grid Accent 5"/>
    <w:basedOn w:val="40"/>
    <w:qFormat/>
    <w:uiPriority w:val="73"/>
    <w:rPr>
      <w:rFonts w:asciiTheme="minorHAnsi" w:hAnsiTheme="minorHAnsi" w:eastAsiaTheme="minorEastAsia" w:cstheme="minorBidi"/>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9">
    <w:name w:val="Colorful Grid Accent 6"/>
    <w:basedOn w:val="40"/>
    <w:qFormat/>
    <w:uiPriority w:val="73"/>
    <w:rPr>
      <w:rFonts w:asciiTheme="minorHAnsi" w:hAnsiTheme="minorHAnsi" w:eastAsiaTheme="minorEastAsia" w:cstheme="minorBidi"/>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41">
    <w:name w:val="Strong"/>
    <w:basedOn w:val="140"/>
    <w:qFormat/>
    <w:uiPriority w:val="0"/>
    <w:rPr>
      <w:b/>
      <w:bCs/>
    </w:rPr>
  </w:style>
  <w:style w:type="character" w:styleId="142">
    <w:name w:val="page number"/>
    <w:basedOn w:val="140"/>
    <w:qFormat/>
    <w:uiPriority w:val="0"/>
  </w:style>
  <w:style w:type="character" w:styleId="143">
    <w:name w:val="Emphasis"/>
    <w:basedOn w:val="140"/>
    <w:qFormat/>
    <w:uiPriority w:val="20"/>
    <w:rPr>
      <w:i/>
      <w:iCs/>
    </w:rPr>
  </w:style>
  <w:style w:type="character" w:styleId="144">
    <w:name w:val="Hyperlink"/>
    <w:basedOn w:val="140"/>
    <w:qFormat/>
    <w:uiPriority w:val="99"/>
    <w:rPr>
      <w:color w:val="0000FF"/>
      <w:u w:val="single"/>
    </w:rPr>
  </w:style>
  <w:style w:type="character" w:styleId="145">
    <w:name w:val="annotation reference"/>
    <w:basedOn w:val="140"/>
    <w:unhideWhenUsed/>
    <w:qFormat/>
    <w:uiPriority w:val="99"/>
    <w:rPr>
      <w:sz w:val="21"/>
      <w:szCs w:val="21"/>
    </w:rPr>
  </w:style>
  <w:style w:type="character" w:styleId="146">
    <w:name w:val="footnote reference"/>
    <w:basedOn w:val="140"/>
    <w:unhideWhenUsed/>
    <w:qFormat/>
    <w:uiPriority w:val="99"/>
    <w:rPr>
      <w:vertAlign w:val="superscript"/>
    </w:rPr>
  </w:style>
  <w:style w:type="paragraph" w:customStyle="1" w:styleId="147">
    <w:name w:val="Table Text"/>
    <w:basedOn w:val="1"/>
    <w:semiHidden/>
    <w:qFormat/>
    <w:uiPriority w:val="0"/>
    <w:rPr>
      <w:rFonts w:ascii="宋体" w:hAnsi="宋体" w:cs="宋体"/>
      <w:sz w:val="22"/>
      <w:szCs w:val="22"/>
      <w:lang w:eastAsia="en-US"/>
    </w:rPr>
  </w:style>
  <w:style w:type="table" w:customStyle="1" w:styleId="148">
    <w:name w:val="Table Normal"/>
    <w:semiHidden/>
    <w:unhideWhenUsed/>
    <w:qFormat/>
    <w:uiPriority w:val="0"/>
    <w:tblPr>
      <w:tblCellMar>
        <w:top w:w="0" w:type="dxa"/>
        <w:left w:w="0" w:type="dxa"/>
        <w:bottom w:w="0" w:type="dxa"/>
        <w:right w:w="0" w:type="dxa"/>
      </w:tblCellMar>
    </w:tblPr>
  </w:style>
  <w:style w:type="character" w:customStyle="1" w:styleId="149">
    <w:name w:val="标题 1 字符"/>
    <w:basedOn w:val="140"/>
    <w:link w:val="3"/>
    <w:qFormat/>
    <w:uiPriority w:val="9"/>
    <w:rPr>
      <w:rFonts w:eastAsia="黑体" w:asciiTheme="majorHAnsi" w:hAnsiTheme="majorHAnsi" w:cstheme="majorBidi"/>
      <w:bCs/>
      <w:color w:val="000000"/>
      <w:sz w:val="28"/>
      <w:szCs w:val="28"/>
    </w:rPr>
  </w:style>
  <w:style w:type="character" w:customStyle="1" w:styleId="150">
    <w:name w:val="标题 2 字符"/>
    <w:basedOn w:val="140"/>
    <w:link w:val="4"/>
    <w:qFormat/>
    <w:uiPriority w:val="9"/>
    <w:rPr>
      <w:rFonts w:cstheme="majorBidi"/>
      <w:b/>
      <w:bCs/>
      <w:color w:val="000000"/>
      <w:sz w:val="21"/>
      <w:szCs w:val="21"/>
    </w:rPr>
  </w:style>
  <w:style w:type="character" w:customStyle="1" w:styleId="151">
    <w:name w:val="标题 3 字符"/>
    <w:basedOn w:val="140"/>
    <w:link w:val="5"/>
    <w:qFormat/>
    <w:uiPriority w:val="9"/>
    <w:rPr>
      <w:rFonts w:cstheme="majorBidi"/>
      <w:b/>
      <w:bCs/>
      <w:color w:val="000000"/>
      <w:sz w:val="24"/>
      <w:szCs w:val="22"/>
      <w:lang w:eastAsia="en-US"/>
    </w:rPr>
  </w:style>
  <w:style w:type="character" w:customStyle="1" w:styleId="152">
    <w:name w:val="标题 4 字符"/>
    <w:basedOn w:val="140"/>
    <w:link w:val="6"/>
    <w:semiHidden/>
    <w:qFormat/>
    <w:uiPriority w:val="9"/>
    <w:rPr>
      <w:rFonts w:asciiTheme="majorHAnsi" w:hAnsiTheme="majorHAnsi" w:eastAsiaTheme="majorEastAsia" w:cstheme="majorBidi"/>
      <w:b/>
      <w:bCs/>
      <w:i/>
      <w:iCs/>
      <w:color w:val="4F81BD" w:themeColor="accent1"/>
      <w:sz w:val="24"/>
      <w:szCs w:val="22"/>
      <w:lang w:eastAsia="en-US"/>
      <w14:textFill>
        <w14:solidFill>
          <w14:schemeClr w14:val="accent1"/>
        </w14:solidFill>
      </w14:textFill>
    </w:rPr>
  </w:style>
  <w:style w:type="character" w:customStyle="1" w:styleId="153">
    <w:name w:val="标题 5 字符"/>
    <w:basedOn w:val="140"/>
    <w:link w:val="7"/>
    <w:semiHidden/>
    <w:qFormat/>
    <w:uiPriority w:val="9"/>
    <w:rPr>
      <w:rFonts w:asciiTheme="majorHAnsi" w:hAnsiTheme="majorHAnsi" w:eastAsiaTheme="majorEastAsia" w:cstheme="majorBidi"/>
      <w:color w:val="254061" w:themeColor="accent1" w:themeShade="80"/>
      <w:sz w:val="24"/>
      <w:szCs w:val="22"/>
      <w:lang w:eastAsia="en-US"/>
    </w:rPr>
  </w:style>
  <w:style w:type="character" w:customStyle="1" w:styleId="154">
    <w:name w:val="标题 6 字符"/>
    <w:basedOn w:val="140"/>
    <w:link w:val="8"/>
    <w:semiHidden/>
    <w:qFormat/>
    <w:uiPriority w:val="9"/>
    <w:rPr>
      <w:rFonts w:asciiTheme="majorHAnsi" w:hAnsiTheme="majorHAnsi" w:eastAsiaTheme="majorEastAsia" w:cstheme="majorBidi"/>
      <w:i/>
      <w:iCs/>
      <w:color w:val="254061" w:themeColor="accent1" w:themeShade="80"/>
      <w:sz w:val="24"/>
      <w:szCs w:val="22"/>
      <w:lang w:eastAsia="en-US"/>
    </w:rPr>
  </w:style>
  <w:style w:type="character" w:customStyle="1" w:styleId="155">
    <w:name w:val="标题 7 字符"/>
    <w:basedOn w:val="140"/>
    <w:link w:val="9"/>
    <w:semiHidden/>
    <w:qFormat/>
    <w:uiPriority w:val="9"/>
    <w:rPr>
      <w:rFonts w:asciiTheme="majorHAnsi" w:hAnsiTheme="majorHAnsi" w:eastAsiaTheme="majorEastAsia" w:cstheme="majorBidi"/>
      <w:i/>
      <w:iCs/>
      <w:color w:val="404040" w:themeColor="text1" w:themeTint="BF"/>
      <w:sz w:val="24"/>
      <w:szCs w:val="22"/>
      <w:lang w:eastAsia="en-US"/>
      <w14:textFill>
        <w14:solidFill>
          <w14:schemeClr w14:val="tx1">
            <w14:lumMod w14:val="75000"/>
            <w14:lumOff w14:val="25000"/>
          </w14:schemeClr>
        </w14:solidFill>
      </w14:textFill>
    </w:rPr>
  </w:style>
  <w:style w:type="character" w:customStyle="1" w:styleId="156">
    <w:name w:val="标题 8 字符"/>
    <w:basedOn w:val="140"/>
    <w:link w:val="10"/>
    <w:semiHidden/>
    <w:qFormat/>
    <w:uiPriority w:val="9"/>
    <w:rPr>
      <w:rFonts w:asciiTheme="majorHAnsi" w:hAnsiTheme="majorHAnsi" w:eastAsiaTheme="majorEastAsia" w:cstheme="majorBidi"/>
      <w:color w:val="4F81BD" w:themeColor="accent1"/>
      <w:lang w:eastAsia="en-US"/>
      <w14:textFill>
        <w14:solidFill>
          <w14:schemeClr w14:val="accent1"/>
        </w14:solidFill>
      </w14:textFill>
    </w:rPr>
  </w:style>
  <w:style w:type="character" w:customStyle="1" w:styleId="157">
    <w:name w:val="标题 9 字符"/>
    <w:basedOn w:val="140"/>
    <w:link w:val="11"/>
    <w:semiHidden/>
    <w:qFormat/>
    <w:uiPriority w:val="9"/>
    <w:rPr>
      <w:rFonts w:asciiTheme="majorHAnsi" w:hAnsiTheme="majorHAnsi" w:eastAsiaTheme="majorEastAsia" w:cstheme="majorBidi"/>
      <w:i/>
      <w:iCs/>
      <w:color w:val="404040" w:themeColor="text1" w:themeTint="BF"/>
      <w:lang w:eastAsia="en-US"/>
      <w14:textFill>
        <w14:solidFill>
          <w14:schemeClr w14:val="tx1">
            <w14:lumMod w14:val="75000"/>
            <w14:lumOff w14:val="25000"/>
          </w14:schemeClr>
        </w14:solidFill>
      </w14:textFill>
    </w:rPr>
  </w:style>
  <w:style w:type="character" w:customStyle="1" w:styleId="158">
    <w:name w:val="宏文本 字符"/>
    <w:basedOn w:val="140"/>
    <w:link w:val="2"/>
    <w:qFormat/>
    <w:uiPriority w:val="99"/>
    <w:rPr>
      <w:rFonts w:ascii="Courier" w:hAnsi="Courier" w:eastAsiaTheme="minorEastAsia" w:cstheme="minorBidi"/>
      <w:lang w:eastAsia="en-US"/>
    </w:rPr>
  </w:style>
  <w:style w:type="character" w:customStyle="1" w:styleId="159">
    <w:name w:val="正文文本 3 字符"/>
    <w:basedOn w:val="140"/>
    <w:link w:val="18"/>
    <w:qFormat/>
    <w:uiPriority w:val="99"/>
    <w:rPr>
      <w:sz w:val="16"/>
      <w:szCs w:val="16"/>
      <w:lang w:eastAsia="en-US"/>
    </w:rPr>
  </w:style>
  <w:style w:type="character" w:customStyle="1" w:styleId="160">
    <w:name w:val="副标题 字符"/>
    <w:basedOn w:val="140"/>
    <w:link w:val="30"/>
    <w:qFormat/>
    <w:uiPriority w:val="11"/>
    <w:rPr>
      <w:rFonts w:asciiTheme="majorHAnsi" w:hAnsiTheme="majorHAnsi" w:eastAsiaTheme="majorEastAsia" w:cstheme="majorBidi"/>
      <w:i/>
      <w:iCs/>
      <w:color w:val="4F81BD" w:themeColor="accent1"/>
      <w:spacing w:val="15"/>
      <w:sz w:val="24"/>
      <w:szCs w:val="24"/>
      <w:lang w:eastAsia="en-US"/>
      <w14:textFill>
        <w14:solidFill>
          <w14:schemeClr w14:val="accent1"/>
        </w14:solidFill>
      </w14:textFill>
    </w:rPr>
  </w:style>
  <w:style w:type="character" w:customStyle="1" w:styleId="161">
    <w:name w:val="正文文本 2 字符"/>
    <w:basedOn w:val="140"/>
    <w:link w:val="34"/>
    <w:qFormat/>
    <w:uiPriority w:val="99"/>
    <w:rPr>
      <w:sz w:val="24"/>
      <w:szCs w:val="22"/>
      <w:lang w:eastAsia="en-US"/>
    </w:rPr>
  </w:style>
  <w:style w:type="character" w:customStyle="1" w:styleId="162">
    <w:name w:val="标题 字符"/>
    <w:basedOn w:val="140"/>
    <w:link w:val="38"/>
    <w:qFormat/>
    <w:uiPriority w:val="10"/>
    <w:rPr>
      <w:rFonts w:asciiTheme="majorHAnsi" w:hAnsiTheme="majorHAnsi" w:eastAsiaTheme="majorEastAsia" w:cstheme="majorBidi"/>
      <w:color w:val="17375E" w:themeColor="text2" w:themeShade="BF"/>
      <w:spacing w:val="5"/>
      <w:kern w:val="28"/>
      <w:sz w:val="52"/>
      <w:szCs w:val="52"/>
      <w:lang w:eastAsia="en-US"/>
    </w:rPr>
  </w:style>
  <w:style w:type="character" w:customStyle="1" w:styleId="163">
    <w:name w:val="页眉 字符"/>
    <w:basedOn w:val="140"/>
    <w:link w:val="28"/>
    <w:qFormat/>
    <w:uiPriority w:val="0"/>
    <w:rPr>
      <w:rFonts w:ascii="Calibri" w:hAnsi="Calibri"/>
      <w:kern w:val="2"/>
      <w:sz w:val="18"/>
      <w:szCs w:val="24"/>
    </w:rPr>
  </w:style>
  <w:style w:type="character" w:customStyle="1" w:styleId="164">
    <w:name w:val="页脚 字符"/>
    <w:basedOn w:val="140"/>
    <w:link w:val="27"/>
    <w:qFormat/>
    <w:uiPriority w:val="0"/>
    <w:rPr>
      <w:rFonts w:ascii="Calibri" w:hAnsi="Calibri"/>
      <w:kern w:val="2"/>
      <w:sz w:val="18"/>
      <w:szCs w:val="18"/>
    </w:rPr>
  </w:style>
  <w:style w:type="paragraph" w:styleId="165">
    <w:name w:val="No Spacing"/>
    <w:qFormat/>
    <w:uiPriority w:val="1"/>
    <w:rPr>
      <w:rFonts w:asciiTheme="minorHAnsi" w:hAnsiTheme="minorHAnsi" w:eastAsiaTheme="minorEastAsia" w:cstheme="minorBidi"/>
      <w:sz w:val="22"/>
      <w:szCs w:val="22"/>
      <w:lang w:val="en-US" w:eastAsia="en-US" w:bidi="ar-SA"/>
    </w:rPr>
  </w:style>
  <w:style w:type="paragraph" w:styleId="166">
    <w:name w:val="List Paragraph"/>
    <w:basedOn w:val="1"/>
    <w:qFormat/>
    <w:uiPriority w:val="99"/>
    <w:pPr>
      <w:widowControl/>
      <w:spacing w:line="360" w:lineRule="auto"/>
      <w:ind w:left="720"/>
      <w:contextualSpacing/>
      <w:jc w:val="left"/>
    </w:pPr>
    <w:rPr>
      <w:rFonts w:ascii="Times New Roman" w:hAnsi="Times New Roman"/>
      <w:kern w:val="0"/>
      <w:sz w:val="24"/>
      <w:szCs w:val="22"/>
      <w:lang w:eastAsia="en-US"/>
    </w:rPr>
  </w:style>
  <w:style w:type="character" w:customStyle="1" w:styleId="167">
    <w:name w:val="正文文本 字符"/>
    <w:basedOn w:val="140"/>
    <w:link w:val="20"/>
    <w:qFormat/>
    <w:uiPriority w:val="99"/>
    <w:rPr>
      <w:rFonts w:ascii="Calibri" w:hAnsi="Calibri"/>
      <w:kern w:val="2"/>
      <w:sz w:val="36"/>
      <w:szCs w:val="24"/>
    </w:rPr>
  </w:style>
  <w:style w:type="paragraph" w:styleId="168">
    <w:name w:val="Quote"/>
    <w:basedOn w:val="1"/>
    <w:next w:val="1"/>
    <w:link w:val="169"/>
    <w:qFormat/>
    <w:uiPriority w:val="29"/>
    <w:pPr>
      <w:widowControl/>
      <w:spacing w:line="360" w:lineRule="auto"/>
      <w:jc w:val="left"/>
    </w:pPr>
    <w:rPr>
      <w:rFonts w:ascii="Times New Roman" w:hAnsi="Times New Roman"/>
      <w:i/>
      <w:iCs/>
      <w:color w:val="000000" w:themeColor="text1"/>
      <w:kern w:val="0"/>
      <w:sz w:val="24"/>
      <w:szCs w:val="22"/>
      <w:lang w:eastAsia="en-US"/>
      <w14:textFill>
        <w14:solidFill>
          <w14:schemeClr w14:val="tx1"/>
        </w14:solidFill>
      </w14:textFill>
    </w:rPr>
  </w:style>
  <w:style w:type="character" w:customStyle="1" w:styleId="169">
    <w:name w:val="引用 字符"/>
    <w:basedOn w:val="140"/>
    <w:link w:val="168"/>
    <w:qFormat/>
    <w:uiPriority w:val="29"/>
    <w:rPr>
      <w:i/>
      <w:iCs/>
      <w:color w:val="000000" w:themeColor="text1"/>
      <w:sz w:val="24"/>
      <w:szCs w:val="22"/>
      <w:lang w:eastAsia="en-US"/>
      <w14:textFill>
        <w14:solidFill>
          <w14:schemeClr w14:val="tx1"/>
        </w14:solidFill>
      </w14:textFill>
    </w:rPr>
  </w:style>
  <w:style w:type="paragraph" w:styleId="170">
    <w:name w:val="Intense Quote"/>
    <w:basedOn w:val="1"/>
    <w:next w:val="1"/>
    <w:link w:val="171"/>
    <w:qFormat/>
    <w:uiPriority w:val="30"/>
    <w:pPr>
      <w:widowControl/>
      <w:pBdr>
        <w:bottom w:val="single" w:color="4F81BD" w:themeColor="accent1" w:sz="4" w:space="4"/>
      </w:pBdr>
      <w:spacing w:before="200" w:after="280" w:line="360" w:lineRule="auto"/>
      <w:ind w:left="936" w:right="936"/>
      <w:jc w:val="left"/>
    </w:pPr>
    <w:rPr>
      <w:rFonts w:ascii="Times New Roman" w:hAnsi="Times New Roman"/>
      <w:b/>
      <w:bCs/>
      <w:i/>
      <w:iCs/>
      <w:color w:val="4F81BD" w:themeColor="accent1"/>
      <w:kern w:val="0"/>
      <w:sz w:val="24"/>
      <w:szCs w:val="22"/>
      <w:lang w:eastAsia="en-US"/>
      <w14:textFill>
        <w14:solidFill>
          <w14:schemeClr w14:val="accent1"/>
        </w14:solidFill>
      </w14:textFill>
    </w:rPr>
  </w:style>
  <w:style w:type="character" w:customStyle="1" w:styleId="171">
    <w:name w:val="明显引用 字符"/>
    <w:basedOn w:val="140"/>
    <w:link w:val="170"/>
    <w:qFormat/>
    <w:uiPriority w:val="30"/>
    <w:rPr>
      <w:b/>
      <w:bCs/>
      <w:i/>
      <w:iCs/>
      <w:color w:val="4F81BD" w:themeColor="accent1"/>
      <w:sz w:val="24"/>
      <w:szCs w:val="22"/>
      <w:lang w:eastAsia="en-US"/>
      <w14:textFill>
        <w14:solidFill>
          <w14:schemeClr w14:val="accent1"/>
        </w14:solidFill>
      </w14:textFill>
    </w:rPr>
  </w:style>
  <w:style w:type="character" w:customStyle="1" w:styleId="172">
    <w:name w:val="不明显强调1"/>
    <w:basedOn w:val="140"/>
    <w:qFormat/>
    <w:uiPriority w:val="19"/>
    <w:rPr>
      <w:i/>
      <w:iCs/>
      <w:color w:val="808080" w:themeColor="text1" w:themeTint="80"/>
      <w14:textFill>
        <w14:solidFill>
          <w14:schemeClr w14:val="tx1">
            <w14:lumMod w14:val="50000"/>
            <w14:lumOff w14:val="50000"/>
          </w14:schemeClr>
        </w14:solidFill>
      </w14:textFill>
    </w:rPr>
  </w:style>
  <w:style w:type="character" w:customStyle="1" w:styleId="173">
    <w:name w:val="明显强调1"/>
    <w:basedOn w:val="140"/>
    <w:qFormat/>
    <w:uiPriority w:val="21"/>
    <w:rPr>
      <w:b/>
      <w:bCs/>
      <w:i/>
      <w:iCs/>
      <w:color w:val="4F81BD" w:themeColor="accent1"/>
      <w14:textFill>
        <w14:solidFill>
          <w14:schemeClr w14:val="accent1"/>
        </w14:solidFill>
      </w14:textFill>
    </w:rPr>
  </w:style>
  <w:style w:type="character" w:customStyle="1" w:styleId="174">
    <w:name w:val="不明显参考1"/>
    <w:basedOn w:val="140"/>
    <w:qFormat/>
    <w:uiPriority w:val="31"/>
    <w:rPr>
      <w:smallCaps/>
      <w:color w:val="C0504D" w:themeColor="accent2"/>
      <w:u w:val="single"/>
      <w14:textFill>
        <w14:solidFill>
          <w14:schemeClr w14:val="accent2"/>
        </w14:solidFill>
      </w14:textFill>
    </w:rPr>
  </w:style>
  <w:style w:type="character" w:customStyle="1" w:styleId="175">
    <w:name w:val="明显参考1"/>
    <w:basedOn w:val="140"/>
    <w:qFormat/>
    <w:uiPriority w:val="32"/>
    <w:rPr>
      <w:b/>
      <w:bCs/>
      <w:smallCaps/>
      <w:color w:val="C0504D" w:themeColor="accent2"/>
      <w:spacing w:val="5"/>
      <w:u w:val="single"/>
      <w14:textFill>
        <w14:solidFill>
          <w14:schemeClr w14:val="accent2"/>
        </w14:solidFill>
      </w14:textFill>
    </w:rPr>
  </w:style>
  <w:style w:type="character" w:customStyle="1" w:styleId="176">
    <w:name w:val="书籍标题1"/>
    <w:basedOn w:val="140"/>
    <w:qFormat/>
    <w:uiPriority w:val="33"/>
    <w:rPr>
      <w:b/>
      <w:bCs/>
      <w:smallCaps/>
      <w:spacing w:val="5"/>
    </w:rPr>
  </w:style>
  <w:style w:type="paragraph" w:customStyle="1" w:styleId="177">
    <w:name w:val="TOC 标题1"/>
    <w:basedOn w:val="3"/>
    <w:next w:val="1"/>
    <w:semiHidden/>
    <w:unhideWhenUsed/>
    <w:qFormat/>
    <w:uiPriority w:val="39"/>
    <w:pPr>
      <w:outlineLvl w:val="9"/>
    </w:pPr>
  </w:style>
  <w:style w:type="paragraph" w:customStyle="1" w:styleId="178">
    <w:name w:val="TOC 标题2"/>
    <w:basedOn w:val="3"/>
    <w:next w:val="1"/>
    <w:unhideWhenUsed/>
    <w:qFormat/>
    <w:uiPriority w:val="39"/>
    <w:pPr>
      <w:spacing w:before="240" w:line="259" w:lineRule="auto"/>
      <w:outlineLvl w:val="9"/>
    </w:pPr>
    <w:rPr>
      <w:rFonts w:eastAsiaTheme="majorEastAsia"/>
      <w:bCs w:val="0"/>
      <w:color w:val="376092" w:themeColor="accent1" w:themeShade="BF"/>
      <w:sz w:val="32"/>
      <w:szCs w:val="32"/>
    </w:rPr>
  </w:style>
  <w:style w:type="character" w:customStyle="1" w:styleId="179">
    <w:name w:val="日期 字符"/>
    <w:basedOn w:val="140"/>
    <w:link w:val="26"/>
    <w:qFormat/>
    <w:uiPriority w:val="99"/>
    <w:rPr>
      <w:sz w:val="24"/>
      <w:szCs w:val="22"/>
      <w:lang w:eastAsia="en-US"/>
    </w:rPr>
  </w:style>
  <w:style w:type="table" w:customStyle="1" w:styleId="180">
    <w:name w:val="三线表"/>
    <w:basedOn w:val="40"/>
    <w:qFormat/>
    <w:uiPriority w:val="99"/>
    <w:rPr>
      <w:rFonts w:eastAsia="Times New Roman" w:asciiTheme="minorHAnsi" w:hAnsiTheme="minorHAnsi" w:cstheme="minorBidi"/>
    </w:rPr>
    <w:tblPr>
      <w:tblBorders>
        <w:top w:val="single" w:color="auto" w:sz="12" w:space="0"/>
        <w:bottom w:val="single" w:color="auto" w:sz="12" w:space="0"/>
      </w:tblBorders>
    </w:tblPr>
    <w:tblStylePr w:type="firstRow">
      <w:pPr>
        <w:wordWrap/>
        <w:spacing w:line="360" w:lineRule="exact"/>
        <w:jc w:val="center"/>
      </w:pPr>
      <w:rPr>
        <w:rFonts w:ascii="Times New Roman" w:hAnsi="Times New Roman" w:eastAsia="宋体"/>
      </w:rPr>
      <w:tcPr>
        <w:tcBorders>
          <w:top w:val="single" w:color="auto" w:sz="12" w:space="0"/>
          <w:left w:val="nil"/>
          <w:bottom w:val="single" w:color="auto" w:sz="6" w:space="0"/>
          <w:right w:val="nil"/>
          <w:insideH w:val="nil"/>
          <w:insideV w:val="nil"/>
          <w:tl2br w:val="nil"/>
          <w:tr2bl w:val="nil"/>
        </w:tcBorders>
      </w:tcPr>
    </w:tblStylePr>
  </w:style>
  <w:style w:type="character" w:customStyle="1" w:styleId="181">
    <w:name w:val="脚注文本 字符"/>
    <w:basedOn w:val="140"/>
    <w:link w:val="32"/>
    <w:qFormat/>
    <w:uiPriority w:val="99"/>
    <w:rPr>
      <w:sz w:val="18"/>
      <w:szCs w:val="18"/>
      <w:lang w:eastAsia="en-US"/>
    </w:rPr>
  </w:style>
  <w:style w:type="paragraph" w:customStyle="1" w:styleId="182">
    <w:name w:val="图表标题"/>
    <w:basedOn w:val="1"/>
    <w:link w:val="183"/>
    <w:qFormat/>
    <w:uiPriority w:val="0"/>
    <w:pPr>
      <w:widowControl/>
      <w:spacing w:line="360" w:lineRule="auto"/>
      <w:jc w:val="center"/>
    </w:pPr>
    <w:rPr>
      <w:rFonts w:ascii="Times New Roman" w:hAnsi="Times New Roman"/>
      <w:kern w:val="0"/>
      <w:szCs w:val="22"/>
    </w:rPr>
  </w:style>
  <w:style w:type="character" w:customStyle="1" w:styleId="183">
    <w:name w:val="图表标题 字符"/>
    <w:basedOn w:val="140"/>
    <w:link w:val="182"/>
    <w:qFormat/>
    <w:uiPriority w:val="0"/>
    <w:rPr>
      <w:sz w:val="21"/>
      <w:szCs w:val="22"/>
    </w:rPr>
  </w:style>
  <w:style w:type="character" w:customStyle="1" w:styleId="184">
    <w:name w:val="批注文字 字符"/>
    <w:basedOn w:val="140"/>
    <w:link w:val="17"/>
    <w:qFormat/>
    <w:uiPriority w:val="99"/>
    <w:rPr>
      <w:sz w:val="24"/>
      <w:szCs w:val="22"/>
      <w:lang w:eastAsia="en-US"/>
    </w:rPr>
  </w:style>
  <w:style w:type="character" w:customStyle="1" w:styleId="185">
    <w:name w:val="批注主题 字符"/>
    <w:basedOn w:val="184"/>
    <w:link w:val="39"/>
    <w:qFormat/>
    <w:uiPriority w:val="99"/>
    <w:rPr>
      <w:b/>
      <w:bCs/>
      <w:sz w:val="24"/>
      <w:szCs w:val="22"/>
      <w:lang w:eastAsia="en-US"/>
    </w:rPr>
  </w:style>
  <w:style w:type="paragraph" w:customStyle="1" w:styleId="186">
    <w:name w:val="列出段落1"/>
    <w:basedOn w:val="1"/>
    <w:qFormat/>
    <w:uiPriority w:val="0"/>
    <w:pPr>
      <w:ind w:firstLine="420" w:firstLineChars="200"/>
    </w:pPr>
    <w:rPr>
      <w:rFonts w:eastAsiaTheme="minorEastAsia" w:cstheme="minorBidi"/>
      <w:szCs w:val="22"/>
    </w:rPr>
  </w:style>
  <w:style w:type="character" w:customStyle="1" w:styleId="187">
    <w:name w:val="fontstyle01"/>
    <w:basedOn w:val="140"/>
    <w:qFormat/>
    <w:uiPriority w:val="0"/>
    <w:rPr>
      <w:rFonts w:ascii="Calibri" w:hAnsi="Calibri" w:cs="Calibri"/>
      <w:b/>
      <w:color w:val="073E87"/>
      <w:sz w:val="36"/>
      <w:szCs w:val="36"/>
    </w:rPr>
  </w:style>
  <w:style w:type="character" w:customStyle="1" w:styleId="188">
    <w:name w:val="fontstyle11"/>
    <w:basedOn w:val="140"/>
    <w:qFormat/>
    <w:uiPriority w:val="0"/>
    <w:rPr>
      <w:rFonts w:hint="eastAsia" w:ascii="宋体" w:hAnsi="宋体" w:eastAsia="宋体" w:cs="宋体"/>
      <w:color w:val="073E87"/>
      <w:sz w:val="36"/>
      <w:szCs w:val="36"/>
    </w:rPr>
  </w:style>
  <w:style w:type="character" w:customStyle="1" w:styleId="189">
    <w:name w:val="font41"/>
    <w:basedOn w:val="140"/>
    <w:qFormat/>
    <w:uiPriority w:val="0"/>
    <w:rPr>
      <w:rFonts w:hint="eastAsia" w:ascii="宋体" w:hAnsi="宋体" w:eastAsia="宋体" w:cs="宋体"/>
      <w:color w:val="000000"/>
      <w:sz w:val="20"/>
      <w:szCs w:val="20"/>
      <w:u w:val="none"/>
    </w:rPr>
  </w:style>
  <w:style w:type="character" w:customStyle="1" w:styleId="190">
    <w:name w:val="font31"/>
    <w:basedOn w:val="140"/>
    <w:qFormat/>
    <w:uiPriority w:val="0"/>
    <w:rPr>
      <w:rFonts w:hint="default" w:ascii="Times New Roman" w:hAnsi="Times New Roman" w:cs="Times New Roman"/>
      <w:color w:val="000000"/>
      <w:sz w:val="20"/>
      <w:szCs w:val="20"/>
      <w:u w:val="none"/>
    </w:rPr>
  </w:style>
  <w:style w:type="character" w:customStyle="1" w:styleId="191">
    <w:name w:val="font21"/>
    <w:basedOn w:val="140"/>
    <w:qFormat/>
    <w:uiPriority w:val="0"/>
    <w:rPr>
      <w:rFonts w:hint="default" w:ascii="Times New Roman" w:hAnsi="Times New Roman" w:cs="Times New Roman"/>
      <w:color w:val="000000"/>
      <w:sz w:val="20"/>
      <w:szCs w:val="20"/>
      <w:u w:val="none"/>
    </w:rPr>
  </w:style>
  <w:style w:type="paragraph" w:customStyle="1" w:styleId="192">
    <w:name w:val="Default"/>
    <w:qFormat/>
    <w:uiPriority w:val="0"/>
    <w:pPr>
      <w:widowControl w:val="0"/>
      <w:autoSpaceDE w:val="0"/>
      <w:autoSpaceDN w:val="0"/>
      <w:adjustRightInd w:val="0"/>
    </w:pPr>
    <w:rPr>
      <w:rFonts w:ascii="Arial" w:hAnsi="Arial" w:cs="Arial" w:eastAsiaTheme="minorEastAsia"/>
      <w:color w:val="000000"/>
      <w:sz w:val="24"/>
      <w:szCs w:val="24"/>
      <w:lang w:val="en-US" w:eastAsia="zh-CN" w:bidi="ar-SA"/>
    </w:rPr>
  </w:style>
  <w:style w:type="paragraph" w:customStyle="1" w:styleId="193">
    <w:name w:val="Table Paragraph"/>
    <w:qFormat/>
    <w:uiPriority w:val="1"/>
    <w:pPr>
      <w:widowControl w:val="0"/>
      <w:jc w:val="both"/>
    </w:pPr>
    <w:rPr>
      <w:rFonts w:ascii="Calibri" w:hAnsi="Calibri" w:eastAsia="宋体" w:cs="Calibri"/>
      <w:kern w:val="2"/>
      <w:sz w:val="21"/>
      <w:szCs w:val="22"/>
      <w:lang w:val="en-US" w:eastAsia="zh-CN" w:bidi="ar-SA"/>
    </w:rPr>
  </w:style>
  <w:style w:type="paragraph" w:customStyle="1" w:styleId="194">
    <w:name w:val="修订1"/>
    <w:hidden/>
    <w:unhideWhenUsed/>
    <w:qFormat/>
    <w:uiPriority w:val="99"/>
    <w:rPr>
      <w:rFonts w:ascii="Calibri" w:hAnsi="Calibri" w:eastAsia="宋体" w:cs="Times New Roman"/>
      <w:kern w:val="2"/>
      <w:sz w:val="21"/>
      <w:szCs w:val="24"/>
      <w:lang w:val="en-US" w:eastAsia="zh-CN" w:bidi="ar-SA"/>
    </w:rPr>
  </w:style>
  <w:style w:type="paragraph" w:customStyle="1" w:styleId="195">
    <w:name w:val="Revision"/>
    <w:hidden/>
    <w:semiHidden/>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customXml" Target="../customXml/item1.xml"/><Relationship Id="rId24" Type="http://schemas.openxmlformats.org/officeDocument/2006/relationships/numbering" Target="numbering.xml"/><Relationship Id="rId23" Type="http://schemas.openxmlformats.org/officeDocument/2006/relationships/image" Target="media/image6.png"/><Relationship Id="rId22" Type="http://schemas.openxmlformats.org/officeDocument/2006/relationships/image" Target="media/image5.png"/><Relationship Id="rId21" Type="http://schemas.openxmlformats.org/officeDocument/2006/relationships/image" Target="media/image4.png"/><Relationship Id="rId20" Type="http://schemas.openxmlformats.org/officeDocument/2006/relationships/image" Target="media/image3.png"/><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header" Target="header6.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D9798-AABD-46C6-BCF1-795B293319DE}">
  <ds:schemaRefs/>
</ds:datastoreItem>
</file>

<file path=docProps/app.xml><?xml version="1.0" encoding="utf-8"?>
<Properties xmlns="http://schemas.openxmlformats.org/officeDocument/2006/extended-properties" xmlns:vt="http://schemas.openxmlformats.org/officeDocument/2006/docPropsVTypes">
  <Template>Normal.dotm</Template>
  <Pages>68</Pages>
  <Words>4221</Words>
  <Characters>4509</Characters>
  <Lines>6296</Lines>
  <Paragraphs>6893</Paragraphs>
  <TotalTime>43</TotalTime>
  <ScaleCrop>false</ScaleCrop>
  <LinksUpToDate>false</LinksUpToDate>
  <CharactersWithSpaces>4660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2026-06-02T06:45:00Z</dcterms:created>
  <dc:creator>gxxc</dc:creator>
  <cp:lastModifiedBy>HUAWEI</cp:lastModifiedBy>
  <dcterms:modified xsi:type="dcterms:W3CDTF">2026-08-04T07:21:28Z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124BFB81083348CF99BA01A8A9D3CC30_13</vt:lpwstr>
  </property>
  <property fmtid="{D5CDD505-2E9C-101B-9397-08002B2CF9AE}" pid="4" name="KSOTemplateDocerSaveRecord">
    <vt:lpwstr>eyJoZGlkIjoiNmRhYjAxNjRhZjM5YzQyMmVmNzc5NTYzZDU4ZTg3Y2UiLCJ1c2VySWQiOiI1NDY1NjcyNTgifQ==</vt:lpwstr>
  </property>
</Properties>
</file>