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6" w:line="590" w:lineRule="exact"/>
        <w:jc w:val="both"/>
        <w:textAlignment w:val="baseline"/>
        <w:outlineLvl w:val="1"/>
        <w:rPr>
          <w:rFonts w:hint="eastAsia" w:ascii="方正小标宋简体" w:hAnsi="方正小标宋简体" w:eastAsia="方正小标宋简体" w:cs="方正小标宋简体"/>
          <w:color w:val="auto"/>
          <w:spacing w:val="5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napToGrid/>
          <w:kern w:val="2"/>
          <w:sz w:val="44"/>
          <w:szCs w:val="44"/>
          <w:lang w:val="en-US" w:eastAsia="zh-CN" w:bidi="ar-SA"/>
        </w:rPr>
        <w:t xml:space="preserve">附件4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6" w:line="620" w:lineRule="exact"/>
        <w:jc w:val="center"/>
        <w:textAlignment w:val="baseline"/>
        <w:outlineLvl w:val="1"/>
        <w:rPr>
          <w:rFonts w:hint="eastAsia" w:ascii="方正小标宋简体" w:hAnsi="方正小标宋简体" w:eastAsia="方正小标宋简体" w:cs="方正小标宋简体"/>
          <w:color w:val="auto"/>
          <w:spacing w:val="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5"/>
          <w:sz w:val="44"/>
          <w:szCs w:val="44"/>
        </w:rPr>
        <w:t>广西第八届大学生艺术展演活动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6" w:line="620" w:lineRule="exact"/>
        <w:jc w:val="center"/>
        <w:textAlignment w:val="baseline"/>
        <w:outlineLvl w:val="1"/>
        <w:rPr>
          <w:rFonts w:hint="eastAsia" w:ascii="仿宋_GB2312" w:hAnsi="仿宋_GB2312" w:eastAsia="仿宋_GB2312" w:cs="仿宋_GB2312"/>
          <w:color w:val="auto"/>
          <w:spacing w:val="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5"/>
          <w:sz w:val="44"/>
          <w:szCs w:val="44"/>
        </w:rPr>
        <w:t>高校美育改革创新优秀成果的相关要求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55" w:line="620" w:lineRule="exact"/>
        <w:ind w:firstLine="640" w:firstLineChars="200"/>
        <w:jc w:val="both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高校美育改革创新优秀成果包括学术论文和教学改革案例2个类别。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590" w:lineRule="exact"/>
        <w:ind w:firstLine="591" w:firstLineChars="200"/>
        <w:textAlignment w:val="baseline"/>
        <w:outlineLvl w:val="2"/>
        <w:rPr>
          <w:rFonts w:hint="eastAsia" w:ascii="黑体" w:hAnsi="黑体" w:eastAsia="黑体" w:cs="黑体"/>
          <w:b/>
          <w:bCs/>
          <w:color w:val="auto"/>
          <w:spacing w:val="-13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-13"/>
          <w:sz w:val="32"/>
          <w:szCs w:val="32"/>
          <w:lang w:eastAsia="zh-CN"/>
        </w:rPr>
        <w:t>一、选题范围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56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（一）学术</w:t>
      </w: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论文。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1.学校美育的内涵与价值功能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2.中华美育精神的内在意蕴与时代价值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3.学校美育浸润行动的实践路径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4.高校教师美育素养提升路径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5.高校学科美育与创新型人才培养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6.“五育并举”视域下高校美育育人模式创新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7.新时代高校美育评价改革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8.中华优秀传统文化融入高校美育的策略与路径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9.高校数字美育新生态构建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10.艺术师范教育改革发展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11.高校艺术教育中外比较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12.高校美育赋能经济社会发展实施路径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（二）教学改革案例。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1.高校公共艺术教育教学体系建设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2.高校美育课程与教材建设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3.高校学生艺术社团及实践工作坊建设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4.高校跨学科美育实践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5.高校美育专门机构和教师队伍建设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6.高校美育评价制度建设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7.美育名师工作室建设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8.中华优秀传统文化艺术传承基地建设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9.艺术展演育人实践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10.艺术师范教育基本功展示引领人才培养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11.高校助力乡村学校美育提质发展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40" w:firstLineChars="200"/>
        <w:textAlignment w:val="baseline"/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snapToGrid/>
          <w:color w:val="000000"/>
          <w:kern w:val="2"/>
          <w:sz w:val="32"/>
          <w:szCs w:val="24"/>
          <w:lang w:val="en-US" w:eastAsia="zh-CN" w:bidi="ar-SA"/>
        </w:rPr>
        <w:t>12.高校美育资源与社会艺术资源共建共享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590" w:lineRule="exact"/>
        <w:ind w:firstLine="591" w:firstLineChars="200"/>
        <w:textAlignment w:val="baseline"/>
        <w:outlineLvl w:val="2"/>
        <w:rPr>
          <w:rFonts w:hint="eastAsia" w:ascii="黑体" w:hAnsi="黑体" w:eastAsia="黑体" w:cs="黑体"/>
          <w:b/>
          <w:bCs/>
          <w:color w:val="auto"/>
          <w:spacing w:val="-13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-13"/>
          <w:sz w:val="32"/>
          <w:szCs w:val="32"/>
          <w:lang w:eastAsia="zh-CN"/>
        </w:rPr>
        <w:t>二、有关要求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56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（一）人数要求。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56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学术论文作者不超过2人；教学改革案例以单位名义提交，完成人不超过3人。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56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（二）材料要求。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56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1.学术论文。应为未公开发表的论文，须含摘要（300字左右）、3—5个关键词、正文（不少于5000字）及参考文献，论据充分，论证清晰、有条理</w:t>
      </w: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  <w:lang w:eastAsia="zh-CN"/>
        </w:rPr>
        <w:t>，具</w:t>
      </w: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有实践指导意义。A4排版，页边距上3.8cm、下3.2cm、左3.5cm、右2.5cm；主标题方正小标宋简体二号居中；副标题宋体小二号（加破折号）；正文一级标题黑体三号（序号“一、”），二级标题楷体三号（序号“（一）”</w:t>
      </w: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,三级标题仿宋三号加粗（序号“1.”，数字为Times</w:t>
      </w: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New</w:t>
      </w: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Roman）；正文仿宋三号，首行缩进2字符，行距固定值30磅。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56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2.教学改革案例。应为我区高校美育改革经验总结，提交“文字+视频+图片”组合材料。文字材料须包含背景、做法、成效、建议等要素，主题突出、层次分明、特色鲜明，具有创新性、实效性、可推广性，字数5000字以内，排版格式参照学术论文相关要求。可选择性提交1个视频和5张以内图片，内容要紧扣文字材料，充分展示美育改革实践成果。视频时长5分钟以内，格式为MP4或MOV，大小不超过1G。图片选取代表性场景、作品、成效，JPG格式，大小不低于10M，分辨率为300dpi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590" w:lineRule="exact"/>
        <w:textAlignment w:val="baseline"/>
        <w:outlineLvl w:val="2"/>
        <w:rPr>
          <w:rFonts w:hint="eastAsia" w:ascii="黑体" w:hAnsi="黑体" w:eastAsia="黑体" w:cs="黑体"/>
          <w:b/>
          <w:bCs/>
          <w:color w:val="auto"/>
          <w:spacing w:val="-13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-13"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bCs/>
          <w:color w:val="auto"/>
          <w:spacing w:val="-13"/>
          <w:sz w:val="32"/>
          <w:szCs w:val="32"/>
          <w:lang w:eastAsia="zh-CN"/>
        </w:rPr>
        <w:t>三、其他事项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88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12"/>
          <w:sz w:val="32"/>
          <w:szCs w:val="32"/>
        </w:rPr>
        <w:t>（一）学术论</w:t>
      </w: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文和教学改革案例的第一作者工作单位须与报送学校一致。组委会不接受个人直接报送。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56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</w:rPr>
        <w:t>（二）组委会将对各校报送的高校美育改革创新优秀成果进行查重。凡查重率高于15%的，一律取消参评资格</w:t>
      </w:r>
      <w:r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5" w:line="620" w:lineRule="exact"/>
        <w:ind w:right="38" w:firstLine="656" w:firstLineChars="200"/>
        <w:textAlignment w:val="baseline"/>
        <w:rPr>
          <w:rFonts w:hint="eastAsia" w:ascii="仿宋_GB2312" w:hAnsi="仿宋_GB2312" w:eastAsia="仿宋_GB2312" w:cs="仿宋_GB2312"/>
          <w:color w:val="auto"/>
          <w:spacing w:val="4"/>
          <w:sz w:val="32"/>
          <w:szCs w:val="32"/>
          <w:lang w:eastAsia="zh-CN"/>
        </w:rPr>
      </w:pPr>
    </w:p>
    <w:p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C9777D"/>
    <w:rsid w:val="14C9777D"/>
    <w:rsid w:val="6F113D26"/>
    <w:rsid w:val="77216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2026-06-01T10:54:00Z</dcterms:created>
  <dc:creator>Hp</dc:creator>
  <cp:lastModifiedBy>Hp</cp:lastModifiedBy>
  <dcterms:modified xsi:type="dcterms:W3CDTF">2026-06-05T12:34:00Z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BB61C1E1411C4C0D9F4404EF7ADC0209</vt:lpwstr>
  </property>
</Properties>
</file>