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30E17">
      <w:pPr>
        <w:spacing w:before="37" w:line="229" w:lineRule="auto"/>
        <w:ind w:left="166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宋体" w:hAnsi="宋体" w:eastAsia="宋体" w:cs="宋体"/>
          <w:spacing w:val="-4"/>
          <w:sz w:val="18"/>
          <w:szCs w:val="18"/>
        </w:rPr>
        <w:t>附件</w:t>
      </w:r>
      <w:r>
        <w:rPr>
          <w:rFonts w:ascii="Times New Roman" w:hAnsi="Times New Roman" w:eastAsia="Times New Roman" w:cs="Times New Roman"/>
          <w:spacing w:val="-4"/>
          <w:sz w:val="18"/>
          <w:szCs w:val="18"/>
        </w:rPr>
        <w:t>1</w:t>
      </w:r>
    </w:p>
    <w:p w14:paraId="65680780">
      <w:pPr>
        <w:spacing w:before="124" w:line="390" w:lineRule="exact"/>
        <w:ind w:left="2903"/>
        <w:outlineLvl w:val="0"/>
        <w:rPr>
          <w:rFonts w:ascii="微软雅黑" w:hAnsi="微软雅黑" w:eastAsia="微软雅黑" w:cs="微软雅黑"/>
          <w:sz w:val="39"/>
          <w:szCs w:val="39"/>
        </w:rPr>
      </w:pPr>
      <w:r>
        <w:rPr>
          <w:rFonts w:ascii="微软雅黑" w:hAnsi="微软雅黑" w:eastAsia="微软雅黑" w:cs="微软雅黑"/>
          <w:spacing w:val="-9"/>
          <w:w w:val="93"/>
          <w:position w:val="-2"/>
          <w:sz w:val="39"/>
          <w:szCs w:val="39"/>
        </w:rPr>
        <w:t>成人可预防传染病相关疫苗信息</w:t>
      </w:r>
    </w:p>
    <w:p w14:paraId="6679000E">
      <w:pPr>
        <w:spacing w:line="64" w:lineRule="exact"/>
      </w:pPr>
    </w:p>
    <w:tbl>
      <w:tblPr>
        <w:tblStyle w:val="5"/>
        <w:tblW w:w="11051" w:type="dxa"/>
        <w:tblInd w:w="-9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0"/>
        <w:gridCol w:w="3330"/>
        <w:gridCol w:w="2070"/>
        <w:gridCol w:w="1230"/>
        <w:gridCol w:w="2430"/>
        <w:gridCol w:w="881"/>
      </w:tblGrid>
      <w:tr w14:paraId="4B677C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110" w:type="dxa"/>
            <w:shd w:val="clear" w:color="auto" w:fill="BDD7EE"/>
            <w:vAlign w:val="center"/>
          </w:tcPr>
          <w:p w14:paraId="3E7C0FF5">
            <w:pPr>
              <w:pStyle w:val="6"/>
              <w:spacing w:before="119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7"/>
              </w:rPr>
              <w:t>疫苗名称</w:t>
            </w:r>
          </w:p>
        </w:tc>
        <w:tc>
          <w:tcPr>
            <w:tcW w:w="3330" w:type="dxa"/>
            <w:shd w:val="clear" w:color="auto" w:fill="BDD7EE"/>
            <w:vAlign w:val="center"/>
          </w:tcPr>
          <w:p w14:paraId="3FFEDF83">
            <w:pPr>
              <w:pStyle w:val="6"/>
              <w:spacing w:before="118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7"/>
              </w:rPr>
              <w:t>疾病简介</w:t>
            </w:r>
          </w:p>
        </w:tc>
        <w:tc>
          <w:tcPr>
            <w:tcW w:w="2070" w:type="dxa"/>
            <w:shd w:val="clear" w:color="auto" w:fill="BDD7EE"/>
            <w:vAlign w:val="center"/>
          </w:tcPr>
          <w:p w14:paraId="1C782153">
            <w:pPr>
              <w:pStyle w:val="6"/>
              <w:spacing w:before="119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7"/>
              </w:rPr>
              <w:t>作用与用途</w:t>
            </w:r>
          </w:p>
        </w:tc>
        <w:tc>
          <w:tcPr>
            <w:tcW w:w="1230" w:type="dxa"/>
            <w:shd w:val="clear" w:color="auto" w:fill="BDD7EE"/>
            <w:vAlign w:val="center"/>
          </w:tcPr>
          <w:p w14:paraId="70D564DF">
            <w:pPr>
              <w:pStyle w:val="6"/>
              <w:spacing w:before="118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7"/>
              </w:rPr>
              <w:t>接种年龄</w:t>
            </w:r>
          </w:p>
        </w:tc>
        <w:tc>
          <w:tcPr>
            <w:tcW w:w="2430" w:type="dxa"/>
            <w:shd w:val="clear" w:color="auto" w:fill="BDD7EE"/>
            <w:vAlign w:val="center"/>
          </w:tcPr>
          <w:p w14:paraId="7EB9A891">
            <w:pPr>
              <w:pStyle w:val="6"/>
              <w:spacing w:before="119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7"/>
              </w:rPr>
              <w:t>接种程序</w:t>
            </w:r>
          </w:p>
        </w:tc>
        <w:tc>
          <w:tcPr>
            <w:tcW w:w="881" w:type="dxa"/>
            <w:shd w:val="clear" w:color="auto" w:fill="BDD7EE"/>
            <w:vAlign w:val="center"/>
          </w:tcPr>
          <w:p w14:paraId="04B757BA">
            <w:pPr>
              <w:pStyle w:val="6"/>
              <w:spacing w:before="118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4"/>
              </w:rPr>
              <w:t>价格</w:t>
            </w:r>
          </w:p>
        </w:tc>
      </w:tr>
      <w:tr w14:paraId="1727CA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6" w:hRule="atLeast"/>
        </w:trPr>
        <w:tc>
          <w:tcPr>
            <w:tcW w:w="1110" w:type="dxa"/>
            <w:vAlign w:val="center"/>
          </w:tcPr>
          <w:p w14:paraId="3CE78D57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4"/>
              </w:rPr>
              <w:t>流感疫苗</w:t>
            </w:r>
          </w:p>
        </w:tc>
        <w:tc>
          <w:tcPr>
            <w:tcW w:w="3330" w:type="dxa"/>
            <w:vAlign w:val="center"/>
          </w:tcPr>
          <w:p w14:paraId="7D6A8F2E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14"/>
              </w:rPr>
              <w:t>流行性感冒是由流感病毒引起的一种</w:t>
            </w:r>
            <w:r>
              <w:rPr>
                <w:spacing w:val="2"/>
              </w:rPr>
              <w:t>急性呼吸道传染病，</w:t>
            </w:r>
            <w:r>
              <w:rPr>
                <w:spacing w:val="-15"/>
              </w:rPr>
              <w:t xml:space="preserve"> </w:t>
            </w:r>
            <w:r>
              <w:rPr>
                <w:spacing w:val="2"/>
              </w:rPr>
              <w:t>严重危害人类健</w:t>
            </w:r>
            <w:r>
              <w:rPr>
                <w:spacing w:val="7"/>
              </w:rPr>
              <w:t>康。主要症状表现为突起高热、咽痛</w:t>
            </w:r>
            <w:r>
              <w:t>、咳嗽、头痛、肌痛及全身不适等。</w:t>
            </w:r>
          </w:p>
        </w:tc>
        <w:tc>
          <w:tcPr>
            <w:tcW w:w="2070" w:type="dxa"/>
            <w:vAlign w:val="center"/>
          </w:tcPr>
          <w:p w14:paraId="328F1364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3"/>
              </w:rPr>
              <w:t>预防疫苗相关型别的流感</w:t>
            </w:r>
            <w:r>
              <w:rPr>
                <w:spacing w:val="2"/>
              </w:rPr>
              <w:t>病毒引起的流行性感冒。</w:t>
            </w:r>
          </w:p>
        </w:tc>
        <w:tc>
          <w:tcPr>
            <w:tcW w:w="1230" w:type="dxa"/>
            <w:vAlign w:val="center"/>
          </w:tcPr>
          <w:p w14:paraId="0D4D1991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  <w:rPr>
                <w:spacing w:val="-1"/>
              </w:rPr>
            </w:pPr>
            <w:r>
              <w:rPr>
                <w:spacing w:val="-1"/>
              </w:rPr>
              <w:t>本品用于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3</w:t>
            </w:r>
            <w:r>
              <w:rPr>
                <w:spacing w:val="-1"/>
              </w:rPr>
              <w:t>岁及</w:t>
            </w:r>
          </w:p>
          <w:p w14:paraId="379C0C90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5"/>
              </w:rPr>
              <w:t>以上人群</w:t>
            </w:r>
          </w:p>
        </w:tc>
        <w:tc>
          <w:tcPr>
            <w:tcW w:w="2430" w:type="dxa"/>
            <w:vAlign w:val="center"/>
          </w:tcPr>
          <w:p w14:paraId="27016D8A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8"/>
              </w:rPr>
              <w:t>每年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1</w:t>
            </w:r>
            <w:r>
              <w:rPr>
                <w:rFonts w:ascii="Times New Roman" w:hAnsi="Times New Roman" w:eastAsia="Times New Roman" w:cs="Times New Roman"/>
                <w:spacing w:val="7"/>
              </w:rPr>
              <w:t xml:space="preserve"> </w:t>
            </w:r>
            <w:r>
              <w:rPr>
                <w:spacing w:val="-8"/>
              </w:rPr>
              <w:t>剂</w:t>
            </w:r>
          </w:p>
        </w:tc>
        <w:tc>
          <w:tcPr>
            <w:tcW w:w="881" w:type="dxa"/>
            <w:vAlign w:val="center"/>
          </w:tcPr>
          <w:p w14:paraId="229EE6C0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3"/>
              </w:rPr>
              <w:t>85-97元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/</w:t>
            </w:r>
            <w:r>
              <w:rPr>
                <w:spacing w:val="-3"/>
              </w:rPr>
              <w:t>剂</w:t>
            </w:r>
          </w:p>
        </w:tc>
      </w:tr>
      <w:tr w14:paraId="2303B8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</w:trPr>
        <w:tc>
          <w:tcPr>
            <w:tcW w:w="1110" w:type="dxa"/>
            <w:vMerge w:val="restart"/>
            <w:tcBorders>
              <w:bottom w:val="nil"/>
            </w:tcBorders>
            <w:vAlign w:val="center"/>
          </w:tcPr>
          <w:p w14:paraId="4852A326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  <w:rPr>
                <w:spacing w:val="-2"/>
              </w:rPr>
            </w:pPr>
            <w:r>
              <w:rPr>
                <w:spacing w:val="-2"/>
              </w:rPr>
              <w:t>九价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HPV</w:t>
            </w:r>
            <w:r>
              <w:rPr>
                <w:spacing w:val="-2"/>
              </w:rPr>
              <w:t>疫苗</w:t>
            </w:r>
          </w:p>
          <w:p w14:paraId="110F1683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8"/>
              </w:rPr>
              <w:t>（进口）</w:t>
            </w:r>
          </w:p>
        </w:tc>
        <w:tc>
          <w:tcPr>
            <w:tcW w:w="3330" w:type="dxa"/>
            <w:vMerge w:val="restart"/>
            <w:vAlign w:val="center"/>
          </w:tcPr>
          <w:p w14:paraId="3ADF79FB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</w:pPr>
            <w:r>
              <w:t>几乎所有的宫颈癌是由</w:t>
            </w:r>
            <w:r>
              <w:rPr>
                <w:rFonts w:ascii="Times New Roman" w:hAnsi="Times New Roman" w:eastAsia="Times New Roman" w:cs="Times New Roman"/>
              </w:rPr>
              <w:t>HPV</w:t>
            </w:r>
            <w:r>
              <w:t>病</w:t>
            </w:r>
          </w:p>
          <w:p w14:paraId="529B842A">
            <w:pPr>
              <w:pStyle w:val="6"/>
              <w:spacing w:before="19" w:line="240" w:lineRule="auto"/>
              <w:ind w:left="0" w:leftChars="0" w:right="0" w:rightChars="0" w:firstLine="0" w:firstLineChars="0"/>
              <w:jc w:val="center"/>
            </w:pPr>
            <w:r>
              <w:t xml:space="preserve">毒感染引起的， </w:t>
            </w:r>
            <w:r>
              <w:rPr>
                <w:rFonts w:ascii="Times New Roman" w:hAnsi="Times New Roman" w:eastAsia="Times New Roman" w:cs="Times New Roman"/>
              </w:rPr>
              <w:t>99   .7%</w:t>
            </w:r>
            <w:r>
              <w:t>的宫颈癌病</w:t>
            </w:r>
          </w:p>
          <w:p w14:paraId="2277B573">
            <w:pPr>
              <w:pStyle w:val="6"/>
              <w:spacing w:before="19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1"/>
              </w:rPr>
              <w:t>例与高危型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HPV</w:t>
            </w:r>
            <w:r>
              <w:rPr>
                <w:spacing w:val="-1"/>
              </w:rPr>
              <w:t>病毒感 染有关，</w:t>
            </w:r>
          </w:p>
          <w:p w14:paraId="1197AE73">
            <w:pPr>
              <w:pStyle w:val="6"/>
              <w:spacing w:before="21" w:line="240" w:lineRule="auto"/>
              <w:ind w:left="0" w:leftChars="0" w:right="0" w:rightChars="0" w:firstLine="0" w:firstLineChars="0"/>
              <w:jc w:val="center"/>
              <w:rPr>
                <w:spacing w:val="1"/>
              </w:rPr>
            </w:pPr>
            <w:r>
              <w:rPr>
                <w:rFonts w:ascii="Times New Roman" w:hAnsi="Times New Roman" w:eastAsia="Times New Roman" w:cs="Times New Roman"/>
                <w:spacing w:val="1"/>
              </w:rPr>
              <w:t>80%-90%</w:t>
            </w:r>
            <w:r>
              <w:rPr>
                <w:spacing w:val="1"/>
              </w:rPr>
              <w:t>的女性一生中至少感染</w:t>
            </w:r>
          </w:p>
          <w:p w14:paraId="67FFC58E">
            <w:pPr>
              <w:pStyle w:val="6"/>
              <w:spacing w:before="21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1"/>
              </w:rPr>
              <w:t>一</w:t>
            </w:r>
            <w:r>
              <w:rPr>
                <w:spacing w:val="-2"/>
              </w:rPr>
              <w:t>次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HPV</w:t>
            </w:r>
            <w:r>
              <w:rPr>
                <w:spacing w:val="-2"/>
              </w:rPr>
              <w:t>病毒</w:t>
            </w:r>
            <w:r>
              <w:rPr>
                <w:spacing w:val="-29"/>
              </w:rPr>
              <w:t xml:space="preserve"> </w:t>
            </w:r>
            <w:r>
              <w:rPr>
                <w:spacing w:val="-2"/>
              </w:rPr>
              <w:t>。</w:t>
            </w:r>
          </w:p>
          <w:p w14:paraId="54AEF833">
            <w:pPr>
              <w:pStyle w:val="6"/>
              <w:spacing w:before="225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spacing w:val="-2"/>
              </w:rPr>
              <w:t>HPV</w:t>
            </w:r>
            <w:r>
              <w:rPr>
                <w:spacing w:val="-2"/>
              </w:rPr>
              <w:t>根据致癌潜力， 分为高危型和低</w:t>
            </w:r>
          </w:p>
          <w:p w14:paraId="4EEF6D11">
            <w:pPr>
              <w:pStyle w:val="6"/>
              <w:spacing w:before="22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5"/>
              </w:rPr>
              <w:t>危 型：低</w:t>
            </w:r>
            <w:r>
              <w:rPr>
                <w:spacing w:val="-17"/>
              </w:rPr>
              <w:t xml:space="preserve"> </w:t>
            </w:r>
            <w:r>
              <w:rPr>
                <w:spacing w:val="-5"/>
              </w:rPr>
              <w:t>危型 包</w:t>
            </w:r>
            <w:r>
              <w:rPr>
                <w:spacing w:val="-23"/>
              </w:rPr>
              <w:t xml:space="preserve"> </w:t>
            </w:r>
            <w:r>
              <w:rPr>
                <w:spacing w:val="-5"/>
              </w:rPr>
              <w:t>括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HPV6/  11</w:t>
            </w:r>
            <w:r>
              <w:rPr>
                <w:rFonts w:ascii="Times New Roman" w:hAnsi="Times New Roman" w:eastAsia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5"/>
              </w:rPr>
              <w:t>等，</w:t>
            </w:r>
          </w:p>
          <w:p w14:paraId="793AD535">
            <w:pPr>
              <w:pStyle w:val="6"/>
              <w:spacing w:before="19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6"/>
              </w:rPr>
              <w:t>主 要引</w:t>
            </w:r>
            <w:r>
              <w:rPr>
                <w:spacing w:val="-9"/>
              </w:rPr>
              <w:t xml:space="preserve"> </w:t>
            </w:r>
            <w:r>
              <w:rPr>
                <w:spacing w:val="-6"/>
              </w:rPr>
              <w:t>起</w:t>
            </w:r>
            <w:r>
              <w:rPr>
                <w:spacing w:val="-23"/>
              </w:rPr>
              <w:t xml:space="preserve"> </w:t>
            </w:r>
            <w:r>
              <w:rPr>
                <w:spacing w:val="-6"/>
              </w:rPr>
              <w:t>生殖</w:t>
            </w:r>
            <w:r>
              <w:rPr>
                <w:spacing w:val="-26"/>
              </w:rPr>
              <w:t xml:space="preserve"> </w:t>
            </w:r>
            <w:r>
              <w:rPr>
                <w:spacing w:val="-6"/>
              </w:rPr>
              <w:t>器疣和良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性</w:t>
            </w:r>
            <w:r>
              <w:rPr>
                <w:spacing w:val="-26"/>
              </w:rPr>
              <w:t xml:space="preserve"> </w:t>
            </w:r>
            <w:r>
              <w:rPr>
                <w:spacing w:val="-6"/>
              </w:rPr>
              <w:t>病 变；</w:t>
            </w:r>
          </w:p>
          <w:p w14:paraId="3A0E7713">
            <w:pPr>
              <w:pStyle w:val="6"/>
              <w:spacing w:before="19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5"/>
              </w:rPr>
              <w:t>高 危 型</w:t>
            </w:r>
            <w:r>
              <w:rPr>
                <w:spacing w:val="-29"/>
              </w:rPr>
              <w:t xml:space="preserve"> </w:t>
            </w:r>
            <w:r>
              <w:rPr>
                <w:spacing w:val="-5"/>
              </w:rPr>
              <w:t>包</w:t>
            </w:r>
            <w:r>
              <w:rPr>
                <w:spacing w:val="-23"/>
              </w:rPr>
              <w:t xml:space="preserve"> </w:t>
            </w:r>
            <w:r>
              <w:rPr>
                <w:spacing w:val="-5"/>
              </w:rPr>
              <w:t>括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HPV16/</w:t>
            </w:r>
            <w:r>
              <w:rPr>
                <w:rFonts w:ascii="Times New Roman" w:hAnsi="Times New Roman" w:eastAsia="Times New Roman" w:cs="Times New Roman"/>
                <w:spacing w:val="1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</w:rPr>
              <w:t>18/31/33/</w:t>
            </w:r>
          </w:p>
          <w:p w14:paraId="4C43BD28">
            <w:pPr>
              <w:pStyle w:val="6"/>
              <w:spacing w:before="19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spacing w:val="-2"/>
              </w:rPr>
              <w:t>35/45/</w:t>
            </w:r>
            <w:r>
              <w:rPr>
                <w:rFonts w:ascii="Times New Roman" w:hAnsi="Times New Roman" w:eastAsia="Times New Roman" w:cs="Times New Roman"/>
                <w:spacing w:val="43"/>
                <w:w w:val="10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51/52/</w:t>
            </w:r>
            <w:r>
              <w:rPr>
                <w:rFonts w:ascii="Times New Roman" w:hAnsi="Times New Roman" w:eastAsia="Times New Roman" w:cs="Times New Roman"/>
                <w:spacing w:val="23"/>
                <w:w w:val="10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58 </w:t>
            </w:r>
            <w:r>
              <w:rPr>
                <w:spacing w:val="-2"/>
              </w:rPr>
              <w:t>，</w:t>
            </w:r>
            <w:r>
              <w:rPr>
                <w:spacing w:val="-26"/>
              </w:rPr>
              <w:t xml:space="preserve"> </w:t>
            </w:r>
            <w:r>
              <w:rPr>
                <w:spacing w:val="-2"/>
              </w:rPr>
              <w:t>主要引起子宫颈癌、</w:t>
            </w:r>
          </w:p>
          <w:p w14:paraId="6C6BE75D">
            <w:pPr>
              <w:pStyle w:val="6"/>
              <w:spacing w:before="20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2"/>
              </w:rPr>
              <w:t>肛门癌、生殖器癌。</w:t>
            </w:r>
          </w:p>
          <w:p w14:paraId="64A5BC48">
            <w:pPr>
              <w:pStyle w:val="6"/>
              <w:spacing w:before="252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1"/>
              </w:rPr>
              <w:t>中国女性约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98%</w:t>
            </w:r>
            <w:r>
              <w:rPr>
                <w:spacing w:val="-1"/>
              </w:rPr>
              <w:t>的宫颈癌由高危型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HPV</w:t>
            </w:r>
          </w:p>
          <w:p w14:paraId="36B80D8B">
            <w:pPr>
              <w:pStyle w:val="6"/>
              <w:spacing w:before="19" w:line="240" w:lineRule="auto"/>
              <w:ind w:left="0" w:leftChars="0" w:right="0" w:rightChars="0" w:firstLine="0" w:firstLineChars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spacing w:val="-2"/>
              </w:rPr>
              <w:t>导致，最常见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HPV</w:t>
            </w:r>
            <w:r>
              <w:rPr>
                <w:spacing w:val="-2"/>
              </w:rPr>
              <w:t>型别为</w:t>
            </w:r>
            <w:r>
              <w:rPr>
                <w:rFonts w:ascii="Times New Roman" w:hAnsi="Times New Roman" w:eastAsia="Times New Roman" w:cs="Times New Roman"/>
                <w:spacing w:val="-2"/>
              </w:rPr>
              <w:t xml:space="preserve">HPV52 </w:t>
            </w:r>
            <w:r>
              <w:rPr>
                <w:spacing w:val="-2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16</w:t>
            </w:r>
            <w:r>
              <w:rPr>
                <w:spacing w:val="-4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58</w:t>
            </w:r>
            <w:r>
              <w:rPr>
                <w:spacing w:val="-4"/>
              </w:rPr>
              <w:t>型，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研究显示：</w:t>
            </w:r>
            <w:r>
              <w:rPr>
                <w:spacing w:val="47"/>
              </w:rPr>
              <w:t xml:space="preserve"> </w:t>
            </w:r>
            <w:r>
              <w:rPr>
                <w:spacing w:val="-4"/>
              </w:rPr>
              <w:t>中国女性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HPV</w:t>
            </w:r>
          </w:p>
          <w:p w14:paraId="0E5157E7">
            <w:pPr>
              <w:pStyle w:val="6"/>
              <w:spacing w:before="19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1"/>
              </w:rPr>
              <w:t>感染率按年龄呈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12"/>
              </w:rPr>
              <w:t xml:space="preserve"> </w:t>
            </w:r>
            <w:r>
              <w:rPr>
                <w:spacing w:val="1"/>
              </w:rPr>
              <w:t xml:space="preserve">双峰 </w:t>
            </w:r>
            <w:r>
              <w:rPr>
                <w:rFonts w:ascii="Times New Roman" w:hAnsi="Times New Roman" w:eastAsia="Times New Roman" w:cs="Times New Roman"/>
                <w:spacing w:val="1"/>
              </w:rPr>
              <w:t>”</w:t>
            </w:r>
            <w:r>
              <w:rPr>
                <w:spacing w:val="1"/>
              </w:rPr>
              <w:t>分布：</w:t>
            </w:r>
            <w:r>
              <w:rPr>
                <w:spacing w:val="18"/>
              </w:rPr>
              <w:t xml:space="preserve"> </w:t>
            </w:r>
            <w:r>
              <w:rPr>
                <w:spacing w:val="1"/>
              </w:rPr>
              <w:t>第一个</w:t>
            </w:r>
          </w:p>
          <w:p w14:paraId="4A53B42A">
            <w:pPr>
              <w:pStyle w:val="6"/>
              <w:spacing w:before="20" w:line="240" w:lineRule="auto"/>
              <w:ind w:left="0" w:leftChars="0" w:right="0" w:rightChars="0" w:firstLine="0" w:firstLineChars="0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高峰在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“</w:t>
            </w:r>
            <w:r>
              <w:rPr>
                <w:rFonts w:ascii="Times New Roman" w:hAnsi="Times New Roman" w:eastAsia="Times New Roman" w:cs="Times New Roman"/>
                <w:spacing w:val="-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 xml:space="preserve">17-24  </w:t>
            </w:r>
            <w:r>
              <w:rPr>
                <w:spacing w:val="-4"/>
              </w:rPr>
              <w:t>岁</w:t>
            </w:r>
            <w:r>
              <w:rPr>
                <w:spacing w:val="-4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”</w:t>
            </w:r>
            <w:r>
              <w:rPr>
                <w:spacing w:val="-4"/>
              </w:rPr>
              <w:t>，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第二个高</w:t>
            </w:r>
            <w:r>
              <w:rPr>
                <w:spacing w:val="-19"/>
              </w:rPr>
              <w:t xml:space="preserve"> </w:t>
            </w:r>
            <w:r>
              <w:rPr>
                <w:spacing w:val="-4"/>
              </w:rPr>
              <w:t>峰在</w:t>
            </w:r>
          </w:p>
          <w:p w14:paraId="4921B03D">
            <w:pPr>
              <w:pStyle w:val="6"/>
              <w:spacing w:before="20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spacing w:val="-4"/>
              </w:rPr>
              <w:t>“40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-44</w:t>
            </w:r>
            <w:r>
              <w:rPr>
                <w:rFonts w:ascii="Times New Roman" w:hAnsi="Times New Roman" w:eastAsia="Times New Roman" w:cs="Times New Roman"/>
                <w:spacing w:val="25"/>
                <w:w w:val="102"/>
              </w:rPr>
              <w:t xml:space="preserve"> </w:t>
            </w:r>
            <w:r>
              <w:rPr>
                <w:spacing w:val="-1"/>
              </w:rPr>
              <w:t>岁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”</w:t>
            </w:r>
            <w:r>
              <w:rPr>
                <w:spacing w:val="-1"/>
              </w:rPr>
              <w:t>。</w:t>
            </w:r>
          </w:p>
          <w:p w14:paraId="63551E33">
            <w:pPr>
              <w:pStyle w:val="6"/>
              <w:spacing w:before="253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1"/>
              </w:rPr>
              <w:t>青少年性行为的低龄化， 青少年时期</w:t>
            </w:r>
          </w:p>
          <w:p w14:paraId="5CE95482">
            <w:pPr>
              <w:pStyle w:val="6"/>
              <w:spacing w:before="19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3"/>
              </w:rPr>
              <w:t>的生理发育特点，</w:t>
            </w:r>
            <w:r>
              <w:rPr>
                <w:spacing w:val="-8"/>
              </w:rPr>
              <w:t xml:space="preserve"> </w:t>
            </w:r>
            <w:r>
              <w:rPr>
                <w:spacing w:val="-3"/>
              </w:rPr>
              <w:t>都使得青少年成为</w:t>
            </w:r>
          </w:p>
          <w:p w14:paraId="422684AC">
            <w:pPr>
              <w:pStyle w:val="6"/>
              <w:spacing w:before="22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4"/>
              </w:rPr>
              <w:t>了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HPV</w:t>
            </w:r>
            <w:r>
              <w:rPr>
                <w:spacing w:val="-4"/>
              </w:rPr>
              <w:t>感染的高发人群。</w:t>
            </w:r>
          </w:p>
        </w:tc>
        <w:tc>
          <w:tcPr>
            <w:tcW w:w="2070" w:type="dxa"/>
            <w:vMerge w:val="restart"/>
            <w:tcBorders>
              <w:bottom w:val="nil"/>
            </w:tcBorders>
            <w:vAlign w:val="center"/>
          </w:tcPr>
          <w:p w14:paraId="212B997A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zh-CN" w:bidi="ar-SA"/>
              </w:rPr>
              <w:t>预防宫颈癌及癌前病变、</w:t>
            </w:r>
          </w:p>
          <w:p w14:paraId="0F20F65D">
            <w:pPr>
              <w:pStyle w:val="6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zh-CN" w:bidi="ar-SA"/>
              </w:rPr>
              <w:t>肛门癌及癌前病变、</w:t>
            </w:r>
          </w:p>
          <w:p w14:paraId="1EACBF48">
            <w:pPr>
              <w:pStyle w:val="6"/>
              <w:spacing w:before="14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zh-CN" w:bidi="ar-SA"/>
              </w:rPr>
              <w:t>生殖器疣（尖锐湿疣）等</w:t>
            </w:r>
          </w:p>
          <w:p w14:paraId="2554150D">
            <w:pPr>
              <w:pStyle w:val="6"/>
              <w:spacing w:before="14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zh-CN" w:bidi="ar-SA"/>
              </w:rPr>
              <w:t>（具体详见疫苗说明书）</w:t>
            </w:r>
          </w:p>
        </w:tc>
        <w:tc>
          <w:tcPr>
            <w:tcW w:w="1230" w:type="dxa"/>
            <w:tcBorders>
              <w:bottom w:val="single" w:color="000000" w:sz="6" w:space="0"/>
            </w:tcBorders>
            <w:vAlign w:val="center"/>
          </w:tcPr>
          <w:p w14:paraId="7B29FF3F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2"/>
              </w:rPr>
              <w:t>9-14岁女性</w:t>
            </w:r>
          </w:p>
        </w:tc>
        <w:tc>
          <w:tcPr>
            <w:tcW w:w="2430" w:type="dxa"/>
            <w:vAlign w:val="center"/>
          </w:tcPr>
          <w:p w14:paraId="638DB975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  <w:rPr>
                <w:spacing w:val="-7"/>
              </w:rPr>
            </w:pPr>
            <w:r>
              <w:rPr>
                <w:spacing w:val="-7"/>
              </w:rPr>
              <w:t>共接种</w:t>
            </w:r>
            <w:r>
              <w:rPr>
                <w:rFonts w:ascii="Times New Roman" w:hAnsi="Times New Roman" w:eastAsia="Times New Roman" w:cs="Times New Roman"/>
                <w:spacing w:val="-7"/>
              </w:rPr>
              <w:t xml:space="preserve">2 </w:t>
            </w:r>
            <w:r>
              <w:rPr>
                <w:spacing w:val="-7"/>
              </w:rPr>
              <w:t>剂，</w:t>
            </w:r>
          </w:p>
          <w:p w14:paraId="226D436C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7"/>
              </w:rPr>
              <w:t>于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0</w:t>
            </w:r>
            <w:r>
              <w:rPr>
                <w:spacing w:val="-7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7"/>
              </w:rPr>
              <w:t>6</w:t>
            </w:r>
            <w:r>
              <w:rPr>
                <w:spacing w:val="-7"/>
              </w:rPr>
              <w:t>月接种</w:t>
            </w:r>
          </w:p>
        </w:tc>
        <w:tc>
          <w:tcPr>
            <w:tcW w:w="881" w:type="dxa"/>
            <w:vMerge w:val="restart"/>
            <w:tcBorders>
              <w:bottom w:val="nil"/>
            </w:tcBorders>
            <w:vAlign w:val="center"/>
          </w:tcPr>
          <w:p w14:paraId="0077564D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5"/>
              </w:rPr>
              <w:t>1330元/剂</w:t>
            </w:r>
          </w:p>
          <w:p w14:paraId="42560221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5"/>
                <w:shd w:val="clear" w:fill="FFFF00"/>
              </w:rPr>
              <w:t>惠民活动减</w:t>
            </w:r>
          </w:p>
          <w:p w14:paraId="2C691EB5">
            <w:pPr>
              <w:pStyle w:val="6"/>
              <w:spacing w:before="46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5"/>
                <w:shd w:val="clear" w:fill="FFFF00"/>
              </w:rPr>
              <w:t>免一针疫苗</w:t>
            </w:r>
          </w:p>
          <w:p w14:paraId="0A441948">
            <w:pPr>
              <w:pStyle w:val="6"/>
              <w:spacing w:before="48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9"/>
                <w:shd w:val="clear" w:fill="FFFF00"/>
              </w:rPr>
              <w:t>费用</w:t>
            </w:r>
          </w:p>
        </w:tc>
      </w:tr>
      <w:tr w14:paraId="173F0D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7" w:hRule="atLeast"/>
        </w:trPr>
        <w:tc>
          <w:tcPr>
            <w:tcW w:w="1110" w:type="dxa"/>
            <w:vMerge w:val="continue"/>
            <w:tcBorders>
              <w:top w:val="nil"/>
            </w:tcBorders>
            <w:vAlign w:val="center"/>
          </w:tcPr>
          <w:p w14:paraId="64BB81AA">
            <w:pPr>
              <w:ind w:left="0" w:leftChars="0" w:right="0" w:rightChars="0" w:firstLine="0" w:firstLineChars="0"/>
              <w:jc w:val="center"/>
              <w:rPr>
                <w:rFonts w:ascii="Arial"/>
                <w:sz w:val="21"/>
              </w:rPr>
            </w:pPr>
          </w:p>
        </w:tc>
        <w:tc>
          <w:tcPr>
            <w:tcW w:w="3330" w:type="dxa"/>
            <w:vMerge w:val="continue"/>
            <w:tcBorders/>
            <w:vAlign w:val="center"/>
          </w:tcPr>
          <w:p w14:paraId="4CDBF598">
            <w:pPr>
              <w:ind w:left="0" w:leftChars="0" w:right="0" w:rightChars="0" w:firstLine="0" w:firstLineChars="0"/>
              <w:jc w:val="left"/>
              <w:rPr>
                <w:rFonts w:ascii="Arial"/>
                <w:sz w:val="21"/>
              </w:rPr>
            </w:pPr>
          </w:p>
        </w:tc>
        <w:tc>
          <w:tcPr>
            <w:tcW w:w="2070" w:type="dxa"/>
            <w:vMerge w:val="continue"/>
            <w:tcBorders>
              <w:top w:val="nil"/>
            </w:tcBorders>
            <w:vAlign w:val="center"/>
          </w:tcPr>
          <w:p w14:paraId="26E76346">
            <w:pPr>
              <w:ind w:left="0" w:leftChars="0" w:right="0" w:rightChars="0" w:firstLine="0" w:firstLineChars="0"/>
              <w:jc w:val="center"/>
              <w:rPr>
                <w:rFonts w:ascii="Arial"/>
                <w:sz w:val="21"/>
              </w:rPr>
            </w:pPr>
          </w:p>
        </w:tc>
        <w:tc>
          <w:tcPr>
            <w:tcW w:w="1230" w:type="dxa"/>
            <w:tcBorders>
              <w:top w:val="single" w:color="000000" w:sz="6" w:space="0"/>
            </w:tcBorders>
            <w:vAlign w:val="center"/>
          </w:tcPr>
          <w:p w14:paraId="773F59EA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8"/>
              </w:rPr>
              <w:t>16-26岁男性</w:t>
            </w:r>
          </w:p>
          <w:p w14:paraId="4898CE7E">
            <w:pPr>
              <w:pStyle w:val="6"/>
              <w:spacing w:before="6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8"/>
              </w:rPr>
              <w:t>15-45岁女性</w:t>
            </w:r>
          </w:p>
        </w:tc>
        <w:tc>
          <w:tcPr>
            <w:tcW w:w="2430" w:type="dxa"/>
            <w:vAlign w:val="center"/>
          </w:tcPr>
          <w:p w14:paraId="02D20812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6"/>
              </w:rPr>
              <w:t xml:space="preserve">共接种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3</w:t>
            </w:r>
            <w:r>
              <w:rPr>
                <w:rFonts w:ascii="Times New Roman" w:hAnsi="Times New Roman" w:eastAsia="Times New Roman" w:cs="Times New Roman"/>
                <w:spacing w:val="-8"/>
              </w:rPr>
              <w:t xml:space="preserve"> </w:t>
            </w:r>
            <w:r>
              <w:rPr>
                <w:spacing w:val="-6"/>
              </w:rPr>
              <w:t>剂，</w:t>
            </w:r>
          </w:p>
          <w:p w14:paraId="500BE199">
            <w:pPr>
              <w:pStyle w:val="6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8"/>
              </w:rPr>
              <w:t>于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0</w:t>
            </w:r>
            <w:r>
              <w:rPr>
                <w:rFonts w:ascii="Times New Roman" w:hAnsi="Times New Roman" w:eastAsia="Times New Roman" w:cs="Times New Roman"/>
                <w:spacing w:val="12"/>
                <w:w w:val="101"/>
              </w:rPr>
              <w:t xml:space="preserve"> </w:t>
            </w:r>
            <w:r>
              <w:rPr>
                <w:spacing w:val="-8"/>
              </w:rPr>
              <w:t>、2、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6</w:t>
            </w:r>
            <w:r>
              <w:rPr>
                <w:spacing w:val="-8"/>
              </w:rPr>
              <w:t>月接种</w:t>
            </w:r>
          </w:p>
        </w:tc>
        <w:tc>
          <w:tcPr>
            <w:tcW w:w="881" w:type="dxa"/>
            <w:vMerge w:val="continue"/>
            <w:tcBorders>
              <w:top w:val="nil"/>
            </w:tcBorders>
            <w:vAlign w:val="center"/>
          </w:tcPr>
          <w:p w14:paraId="0ADE46BC">
            <w:pPr>
              <w:ind w:left="0" w:leftChars="0" w:right="0" w:rightChars="0" w:firstLine="0" w:firstLineChars="0"/>
              <w:jc w:val="center"/>
              <w:rPr>
                <w:rFonts w:ascii="Arial"/>
                <w:sz w:val="21"/>
              </w:rPr>
            </w:pPr>
          </w:p>
        </w:tc>
      </w:tr>
      <w:tr w14:paraId="6340DA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</w:trPr>
        <w:tc>
          <w:tcPr>
            <w:tcW w:w="1110" w:type="dxa"/>
            <w:vMerge w:val="restart"/>
            <w:tcBorders>
              <w:bottom w:val="nil"/>
            </w:tcBorders>
            <w:vAlign w:val="center"/>
          </w:tcPr>
          <w:p w14:paraId="1EE4C394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  <w:rPr>
                <w:spacing w:val="-2"/>
              </w:rPr>
            </w:pPr>
            <w:r>
              <w:rPr>
                <w:spacing w:val="-2"/>
              </w:rPr>
              <w:t>九价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HPV</w:t>
            </w:r>
            <w:r>
              <w:rPr>
                <w:spacing w:val="-2"/>
              </w:rPr>
              <w:t>疫苗</w:t>
            </w:r>
          </w:p>
          <w:p w14:paraId="39FFACAA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8"/>
              </w:rPr>
              <w:t>（国产）</w:t>
            </w:r>
          </w:p>
        </w:tc>
        <w:tc>
          <w:tcPr>
            <w:tcW w:w="3330" w:type="dxa"/>
            <w:vMerge w:val="continue"/>
            <w:tcBorders/>
            <w:vAlign w:val="center"/>
          </w:tcPr>
          <w:p w14:paraId="232C202D">
            <w:pPr>
              <w:ind w:left="0" w:leftChars="0" w:right="0" w:rightChars="0" w:firstLine="0" w:firstLineChars="0"/>
              <w:jc w:val="left"/>
              <w:rPr>
                <w:rFonts w:ascii="Arial"/>
                <w:sz w:val="21"/>
              </w:rPr>
            </w:pPr>
          </w:p>
        </w:tc>
        <w:tc>
          <w:tcPr>
            <w:tcW w:w="2070" w:type="dxa"/>
            <w:vMerge w:val="restart"/>
            <w:tcBorders>
              <w:bottom w:val="nil"/>
            </w:tcBorders>
            <w:vAlign w:val="center"/>
          </w:tcPr>
          <w:p w14:paraId="450141DB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zh-CN" w:bidi="ar-SA"/>
              </w:rPr>
              <w:t>预防宫颈癌及癌前病变、</w:t>
            </w:r>
          </w:p>
          <w:p w14:paraId="0D160B00">
            <w:pPr>
              <w:pStyle w:val="6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zh-CN" w:bidi="ar-SA"/>
              </w:rPr>
              <w:t>肛门癌及癌前病变、</w:t>
            </w:r>
          </w:p>
          <w:p w14:paraId="17332039">
            <w:pPr>
              <w:pStyle w:val="6"/>
              <w:spacing w:before="14"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zh-CN" w:bidi="ar-SA"/>
              </w:rPr>
              <w:t>生殖器疣（尖锐湿疣）等</w:t>
            </w:r>
          </w:p>
          <w:p w14:paraId="3CB4ABEE">
            <w:pPr>
              <w:pStyle w:val="6"/>
              <w:spacing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zh-CN" w:bidi="ar-SA"/>
              </w:rPr>
              <w:t>（具体详见疫苗说明书）</w:t>
            </w:r>
          </w:p>
        </w:tc>
        <w:tc>
          <w:tcPr>
            <w:tcW w:w="1230" w:type="dxa"/>
            <w:vAlign w:val="center"/>
          </w:tcPr>
          <w:p w14:paraId="605095EF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en-US" w:bidi="ar-SA"/>
              </w:rPr>
              <w:t>9-17岁女性</w:t>
            </w:r>
          </w:p>
        </w:tc>
        <w:tc>
          <w:tcPr>
            <w:tcW w:w="2430" w:type="dxa"/>
            <w:vAlign w:val="center"/>
          </w:tcPr>
          <w:p w14:paraId="4742071E">
            <w:pPr>
              <w:pStyle w:val="6"/>
              <w:spacing w:before="165" w:line="240" w:lineRule="auto"/>
              <w:ind w:left="0" w:leftChars="0" w:right="0" w:rightChars="0" w:firstLine="0" w:firstLineChars="0"/>
              <w:jc w:val="center"/>
              <w:rPr>
                <w:spacing w:val="-6"/>
              </w:rPr>
            </w:pPr>
            <w:r>
              <w:rPr>
                <w:spacing w:val="-6"/>
              </w:rPr>
              <w:t>共接种</w:t>
            </w:r>
            <w:r>
              <w:rPr>
                <w:rFonts w:ascii="Times New Roman" w:hAnsi="Times New Roman" w:eastAsia="Times New Roman" w:cs="Times New Roman"/>
                <w:spacing w:val="-6"/>
              </w:rPr>
              <w:t xml:space="preserve">2 </w:t>
            </w:r>
            <w:r>
              <w:rPr>
                <w:spacing w:val="-6"/>
              </w:rPr>
              <w:t>剂，</w:t>
            </w:r>
          </w:p>
          <w:p w14:paraId="502F2D19">
            <w:pPr>
              <w:pStyle w:val="6"/>
              <w:spacing w:before="165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8"/>
              </w:rPr>
              <w:t>于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0</w:t>
            </w:r>
            <w:r>
              <w:rPr>
                <w:spacing w:val="-8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6</w:t>
            </w:r>
            <w:r>
              <w:rPr>
                <w:spacing w:val="-8"/>
              </w:rPr>
              <w:t>月接种</w:t>
            </w:r>
          </w:p>
        </w:tc>
        <w:tc>
          <w:tcPr>
            <w:tcW w:w="881" w:type="dxa"/>
            <w:vMerge w:val="restart"/>
            <w:tcBorders>
              <w:bottom w:val="nil"/>
            </w:tcBorders>
            <w:vAlign w:val="center"/>
          </w:tcPr>
          <w:p w14:paraId="48EF6B82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spacing w:val="-4"/>
              </w:rPr>
              <w:t>531</w:t>
            </w:r>
            <w:r>
              <w:rPr>
                <w:spacing w:val="-4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/</w:t>
            </w:r>
            <w:r>
              <w:rPr>
                <w:spacing w:val="-4"/>
              </w:rPr>
              <w:t>剂</w:t>
            </w:r>
          </w:p>
        </w:tc>
      </w:tr>
      <w:tr w14:paraId="0104F5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</w:trPr>
        <w:tc>
          <w:tcPr>
            <w:tcW w:w="1110" w:type="dxa"/>
            <w:vMerge w:val="continue"/>
            <w:tcBorders>
              <w:top w:val="nil"/>
            </w:tcBorders>
            <w:vAlign w:val="center"/>
          </w:tcPr>
          <w:p w14:paraId="6644EDAB">
            <w:pPr>
              <w:ind w:left="0" w:leftChars="0" w:right="0" w:rightChars="0" w:firstLine="0" w:firstLineChars="0"/>
              <w:jc w:val="left"/>
              <w:rPr>
                <w:rFonts w:ascii="Arial"/>
                <w:sz w:val="21"/>
              </w:rPr>
            </w:pPr>
          </w:p>
        </w:tc>
        <w:tc>
          <w:tcPr>
            <w:tcW w:w="3330" w:type="dxa"/>
            <w:vMerge w:val="continue"/>
            <w:tcBorders/>
            <w:vAlign w:val="center"/>
          </w:tcPr>
          <w:p w14:paraId="1FFD32EE">
            <w:pPr>
              <w:ind w:left="0" w:leftChars="0" w:right="0" w:rightChars="0" w:firstLine="0" w:firstLineChars="0"/>
              <w:jc w:val="left"/>
              <w:rPr>
                <w:rFonts w:ascii="Arial"/>
                <w:sz w:val="21"/>
              </w:rPr>
            </w:pPr>
          </w:p>
        </w:tc>
        <w:tc>
          <w:tcPr>
            <w:tcW w:w="2070" w:type="dxa"/>
            <w:vMerge w:val="continue"/>
            <w:tcBorders>
              <w:top w:val="nil"/>
            </w:tcBorders>
            <w:vAlign w:val="center"/>
          </w:tcPr>
          <w:p w14:paraId="730A9279">
            <w:pPr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en-US" w:bidi="ar-SA"/>
              </w:rPr>
            </w:pPr>
          </w:p>
        </w:tc>
        <w:tc>
          <w:tcPr>
            <w:tcW w:w="1230" w:type="dxa"/>
            <w:vAlign w:val="center"/>
          </w:tcPr>
          <w:p w14:paraId="76A7A229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en-US" w:bidi="ar-SA"/>
              </w:rPr>
              <w:t>18-45岁女性</w:t>
            </w:r>
          </w:p>
        </w:tc>
        <w:tc>
          <w:tcPr>
            <w:tcW w:w="2430" w:type="dxa"/>
            <w:vAlign w:val="center"/>
          </w:tcPr>
          <w:p w14:paraId="4B439E2F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6"/>
              </w:rPr>
              <w:t xml:space="preserve">共接种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 xml:space="preserve">3 </w:t>
            </w:r>
            <w:r>
              <w:rPr>
                <w:spacing w:val="-6"/>
              </w:rPr>
              <w:t>剂，</w:t>
            </w:r>
          </w:p>
          <w:p w14:paraId="3896D23F">
            <w:pPr>
              <w:pStyle w:val="6"/>
              <w:spacing w:before="5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8"/>
              </w:rPr>
              <w:t>于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0</w:t>
            </w:r>
            <w:r>
              <w:rPr>
                <w:rFonts w:ascii="Times New Roman" w:hAnsi="Times New Roman" w:eastAsia="Times New Roman" w:cs="Times New Roman"/>
                <w:spacing w:val="12"/>
                <w:w w:val="101"/>
              </w:rPr>
              <w:t xml:space="preserve"> </w:t>
            </w:r>
            <w:r>
              <w:rPr>
                <w:spacing w:val="-8"/>
              </w:rPr>
              <w:t>、2、</w:t>
            </w:r>
            <w:r>
              <w:rPr>
                <w:rFonts w:ascii="Times New Roman" w:hAnsi="Times New Roman" w:eastAsia="Times New Roman" w:cs="Times New Roman"/>
                <w:spacing w:val="-8"/>
              </w:rPr>
              <w:t>6</w:t>
            </w:r>
            <w:r>
              <w:rPr>
                <w:spacing w:val="-8"/>
              </w:rPr>
              <w:t>月接种</w:t>
            </w:r>
          </w:p>
        </w:tc>
        <w:tc>
          <w:tcPr>
            <w:tcW w:w="881" w:type="dxa"/>
            <w:vMerge w:val="continue"/>
            <w:tcBorders>
              <w:top w:val="nil"/>
            </w:tcBorders>
            <w:vAlign w:val="center"/>
          </w:tcPr>
          <w:p w14:paraId="6A7F01EF">
            <w:pPr>
              <w:ind w:left="0" w:leftChars="0" w:right="0" w:rightChars="0" w:firstLine="0" w:firstLineChars="0"/>
              <w:jc w:val="center"/>
              <w:rPr>
                <w:rFonts w:ascii="Arial"/>
                <w:sz w:val="21"/>
              </w:rPr>
            </w:pPr>
          </w:p>
        </w:tc>
      </w:tr>
      <w:tr w14:paraId="69ABEC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7" w:hRule="atLeast"/>
        </w:trPr>
        <w:tc>
          <w:tcPr>
            <w:tcW w:w="1110" w:type="dxa"/>
            <w:vAlign w:val="center"/>
          </w:tcPr>
          <w:p w14:paraId="3E0D5B78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spacing w:val="-2"/>
                <w:lang w:val="en-US" w:eastAsia="zh-CN"/>
              </w:rPr>
            </w:pPr>
            <w:r>
              <w:rPr>
                <w:rFonts w:hint="eastAsia"/>
                <w:spacing w:val="-10"/>
                <w:lang w:val="en-US" w:eastAsia="zh-CN"/>
              </w:rPr>
              <w:t>二价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HP</w:t>
            </w:r>
            <w:r>
              <w:rPr>
                <w:rFonts w:hint="eastAsia" w:ascii="Times New Roman" w:hAnsi="Times New Roman" w:cs="Times New Roman"/>
                <w:spacing w:val="-2"/>
                <w:lang w:val="en-US" w:eastAsia="zh-CN"/>
              </w:rPr>
              <w:t>V疫苗</w:t>
            </w:r>
          </w:p>
          <w:p w14:paraId="44CB766C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  <w:rPr>
                <w:rFonts w:hint="eastAsia" w:eastAsia="宋体"/>
                <w:spacing w:val="-1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-2"/>
                <w:lang w:val="en-US" w:eastAsia="zh-CN"/>
              </w:rPr>
              <w:t>（国产）</w:t>
            </w:r>
          </w:p>
        </w:tc>
        <w:tc>
          <w:tcPr>
            <w:tcW w:w="3330" w:type="dxa"/>
            <w:vMerge w:val="continue"/>
            <w:tcBorders/>
            <w:vAlign w:val="center"/>
          </w:tcPr>
          <w:p w14:paraId="61976A20">
            <w:pPr>
              <w:pStyle w:val="6"/>
              <w:spacing w:line="240" w:lineRule="auto"/>
              <w:ind w:left="0" w:leftChars="0" w:right="0" w:rightChars="0" w:firstLine="0" w:firstLineChars="0"/>
              <w:jc w:val="left"/>
              <w:rPr>
                <w:spacing w:val="1"/>
              </w:rPr>
            </w:pPr>
          </w:p>
        </w:tc>
        <w:tc>
          <w:tcPr>
            <w:tcW w:w="2070" w:type="dxa"/>
            <w:vAlign w:val="center"/>
          </w:tcPr>
          <w:p w14:paraId="14A59767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zh-CN" w:bidi="ar-SA"/>
              </w:rPr>
              <w:t>预防HPV16、18两种型别引起的宫颈癌及癌前病变</w:t>
            </w:r>
          </w:p>
          <w:p w14:paraId="2EE46445">
            <w:pPr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宋体"/>
                <w:snapToGrid w:val="0"/>
                <w:color w:val="000000"/>
                <w:spacing w:val="2"/>
                <w:kern w:val="0"/>
                <w:sz w:val="18"/>
                <w:szCs w:val="18"/>
                <w:lang w:val="en-US" w:eastAsia="zh-CN" w:bidi="ar-SA"/>
              </w:rPr>
              <w:t>（具体详见疫苗说明书）</w:t>
            </w:r>
          </w:p>
        </w:tc>
        <w:tc>
          <w:tcPr>
            <w:tcW w:w="1230" w:type="dxa"/>
            <w:vAlign w:val="center"/>
          </w:tcPr>
          <w:p w14:paraId="6C42F6EE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  <w:rPr>
                <w:rFonts w:hint="default" w:eastAsia="宋体"/>
                <w:spacing w:val="-6"/>
                <w:lang w:val="en-US" w:eastAsia="zh-CN"/>
              </w:rPr>
            </w:pPr>
            <w:r>
              <w:rPr>
                <w:rFonts w:hint="eastAsia"/>
                <w:spacing w:val="-6"/>
                <w:lang w:val="en-US" w:eastAsia="zh-CN"/>
              </w:rPr>
              <w:t>9-45岁女性</w:t>
            </w:r>
          </w:p>
        </w:tc>
        <w:tc>
          <w:tcPr>
            <w:tcW w:w="2430" w:type="dxa"/>
            <w:vAlign w:val="center"/>
          </w:tcPr>
          <w:p w14:paraId="264E290F">
            <w:pPr>
              <w:pStyle w:val="6"/>
              <w:spacing w:before="60"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7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</w:rPr>
              <w:t>9-14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岁</w:t>
            </w:r>
            <w:r>
              <w:rPr>
                <w:rFonts w:hint="eastAsia" w:cs="宋体"/>
                <w:spacing w:val="-5"/>
                <w:sz w:val="18"/>
                <w:szCs w:val="18"/>
                <w:lang w:eastAsia="zh-CN"/>
              </w:rPr>
              <w:t>：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共</w:t>
            </w:r>
            <w:r>
              <w:rPr>
                <w:rFonts w:ascii="Times New Roman" w:hAnsi="Times New Roman" w:eastAsia="Times New Roman" w:cs="Times New Roman"/>
                <w:spacing w:val="-7"/>
                <w:sz w:val="18"/>
                <w:szCs w:val="18"/>
              </w:rPr>
              <w:t>2</w:t>
            </w: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剂，</w:t>
            </w:r>
          </w:p>
          <w:p w14:paraId="467CC960">
            <w:pPr>
              <w:pStyle w:val="6"/>
              <w:spacing w:before="60"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2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7"/>
                <w:sz w:val="18"/>
                <w:szCs w:val="18"/>
              </w:rPr>
              <w:t>于</w:t>
            </w:r>
            <w:r>
              <w:rPr>
                <w:rFonts w:ascii="Times New Roman" w:hAnsi="Times New Roman" w:eastAsia="Times New Roman" w:cs="Times New Roman"/>
                <w:spacing w:val="-7"/>
                <w:sz w:val="18"/>
                <w:szCs w:val="18"/>
              </w:rPr>
              <w:t>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7"/>
                <w:sz w:val="18"/>
                <w:szCs w:val="18"/>
              </w:rPr>
              <w:t>、</w:t>
            </w:r>
            <w:r>
              <w:rPr>
                <w:rFonts w:ascii="Times New Roman" w:hAnsi="Times New Roman" w:eastAsia="Times New Roman" w:cs="Times New Roman"/>
                <w:spacing w:val="-7"/>
                <w:sz w:val="18"/>
                <w:szCs w:val="18"/>
              </w:rPr>
              <w:t>6</w:t>
            </w: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spacing w:val="-7"/>
                <w:sz w:val="18"/>
                <w:szCs w:val="18"/>
              </w:rPr>
              <w:t>接种</w:t>
            </w:r>
            <w:r>
              <w:rPr>
                <w:rFonts w:ascii="宋体" w:hAnsi="宋体" w:eastAsia="宋体" w:cs="宋体"/>
                <w:spacing w:val="-9"/>
                <w:sz w:val="18"/>
                <w:szCs w:val="18"/>
              </w:rPr>
              <w:t>；</w:t>
            </w:r>
            <w:r>
              <w:rPr>
                <w:rFonts w:ascii="宋体" w:hAnsi="宋体" w:eastAsia="宋体" w:cs="宋体"/>
                <w:spacing w:val="21"/>
                <w:sz w:val="18"/>
                <w:szCs w:val="18"/>
              </w:rPr>
              <w:t xml:space="preserve">  </w:t>
            </w:r>
          </w:p>
          <w:p w14:paraId="7C084558">
            <w:pPr>
              <w:pStyle w:val="6"/>
              <w:spacing w:before="60" w:line="240" w:lineRule="auto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spacing w:val="-5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pacing w:val="-9"/>
                <w:sz w:val="18"/>
                <w:szCs w:val="18"/>
              </w:rPr>
              <w:t>15-</w:t>
            </w: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</w:rPr>
              <w:t>45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岁</w:t>
            </w:r>
            <w:r>
              <w:rPr>
                <w:rFonts w:hint="eastAsia" w:cs="宋体"/>
                <w:spacing w:val="-5"/>
                <w:sz w:val="18"/>
                <w:szCs w:val="18"/>
                <w:lang w:eastAsia="zh-CN"/>
              </w:rPr>
              <w:t>：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共</w:t>
            </w:r>
            <w:r>
              <w:rPr>
                <w:rFonts w:ascii="Times New Roman" w:hAnsi="Times New Roman" w:eastAsia="Times New Roman" w:cs="Times New Roman"/>
                <w:spacing w:val="-5"/>
                <w:sz w:val="18"/>
                <w:szCs w:val="18"/>
              </w:rPr>
              <w:t>3</w:t>
            </w:r>
            <w:r>
              <w:rPr>
                <w:rFonts w:ascii="宋体" w:hAnsi="宋体" w:eastAsia="宋体" w:cs="宋体"/>
                <w:spacing w:val="-5"/>
                <w:sz w:val="18"/>
                <w:szCs w:val="18"/>
              </w:rPr>
              <w:t>剂，</w:t>
            </w:r>
          </w:p>
          <w:p w14:paraId="7EC0C249">
            <w:pPr>
              <w:pStyle w:val="6"/>
              <w:spacing w:before="60" w:line="240" w:lineRule="auto"/>
              <w:ind w:left="0" w:leftChars="0" w:right="0" w:rightChars="0" w:firstLine="0" w:firstLineChars="0"/>
              <w:jc w:val="center"/>
              <w:rPr>
                <w:spacing w:val="-9"/>
              </w:rPr>
            </w:pPr>
            <w:r>
              <w:rPr>
                <w:rFonts w:hint="eastAsia" w:ascii="宋体" w:hAnsi="宋体" w:eastAsia="宋体" w:cs="宋体"/>
                <w:spacing w:val="-7"/>
                <w:sz w:val="18"/>
                <w:szCs w:val="18"/>
              </w:rPr>
              <w:t>于</w:t>
            </w:r>
            <w:r>
              <w:rPr>
                <w:rFonts w:ascii="Times New Roman" w:hAnsi="Times New Roman" w:eastAsia="Times New Roman" w:cs="Times New Roman"/>
                <w:spacing w:val="-7"/>
                <w:sz w:val="18"/>
                <w:szCs w:val="18"/>
              </w:rPr>
              <w:t>0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7"/>
                <w:sz w:val="18"/>
                <w:szCs w:val="18"/>
              </w:rPr>
              <w:t>、2、</w:t>
            </w:r>
            <w:r>
              <w:rPr>
                <w:rFonts w:ascii="Times New Roman" w:hAnsi="Times New Roman" w:eastAsia="Times New Roman" w:cs="Times New Roman"/>
                <w:spacing w:val="-7"/>
                <w:sz w:val="18"/>
                <w:szCs w:val="18"/>
              </w:rPr>
              <w:t>6</w:t>
            </w:r>
            <w:r>
              <w:rPr>
                <w:rFonts w:ascii="宋体" w:hAnsi="宋体" w:eastAsia="宋体" w:cs="宋体"/>
                <w:spacing w:val="-7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spacing w:val="-7"/>
                <w:sz w:val="18"/>
                <w:szCs w:val="18"/>
              </w:rPr>
              <w:t>接种</w:t>
            </w:r>
          </w:p>
        </w:tc>
        <w:tc>
          <w:tcPr>
            <w:tcW w:w="881" w:type="dxa"/>
            <w:vAlign w:val="center"/>
          </w:tcPr>
          <w:p w14:paraId="15E8F3AF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  <w:rPr>
                <w:spacing w:val="-6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  <w:lang w:eastAsia="en-US"/>
              </w:rPr>
              <w:t>361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  <w:lang w:eastAsia="en-US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1"/>
                <w:sz w:val="18"/>
                <w:szCs w:val="18"/>
                <w:lang w:eastAsia="en-US"/>
              </w:rPr>
              <w:t>/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  <w:lang w:eastAsia="en-US"/>
              </w:rPr>
              <w:t>剂</w:t>
            </w:r>
          </w:p>
        </w:tc>
      </w:tr>
      <w:tr w14:paraId="2BCA0E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 w:hRule="atLeast"/>
        </w:trPr>
        <w:tc>
          <w:tcPr>
            <w:tcW w:w="1110" w:type="dxa"/>
            <w:vAlign w:val="center"/>
          </w:tcPr>
          <w:p w14:paraId="38E5E649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  <w:rPr>
                <w:spacing w:val="-10"/>
              </w:rPr>
            </w:pPr>
            <w:r>
              <w:rPr>
                <w:spacing w:val="-10"/>
              </w:rPr>
              <w:t>乙肝疫苗</w:t>
            </w:r>
          </w:p>
          <w:p w14:paraId="50E7AF5C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</w:pPr>
            <w:bookmarkStart w:id="0" w:name="_GoBack"/>
            <w:bookmarkEnd w:id="0"/>
            <w:r>
              <w:rPr>
                <w:spacing w:val="-9"/>
              </w:rPr>
              <w:t>(20ug)</w:t>
            </w:r>
          </w:p>
        </w:tc>
        <w:tc>
          <w:tcPr>
            <w:tcW w:w="3330" w:type="dxa"/>
            <w:vAlign w:val="center"/>
          </w:tcPr>
          <w:p w14:paraId="01C03E8E">
            <w:pPr>
              <w:pStyle w:val="6"/>
              <w:spacing w:before="266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5"/>
              </w:rPr>
              <w:t>乙型肝炎简称乙肝， 是一种由乙型肝</w:t>
            </w:r>
          </w:p>
          <w:p w14:paraId="7DE0E149">
            <w:pPr>
              <w:pStyle w:val="6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1"/>
              </w:rPr>
              <w:t>炎病毒引起的严重传染病。其主要传</w:t>
            </w:r>
          </w:p>
          <w:p w14:paraId="0E3BF8CF">
            <w:pPr>
              <w:pStyle w:val="6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4"/>
              </w:rPr>
              <w:t>播途径包括母婴传播、血液与体液</w:t>
            </w:r>
          </w:p>
          <w:p w14:paraId="187B3AB9">
            <w:pPr>
              <w:pStyle w:val="6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1"/>
              </w:rPr>
              <w:t>传播、性接触传播等。</w:t>
            </w:r>
          </w:p>
        </w:tc>
        <w:tc>
          <w:tcPr>
            <w:tcW w:w="2070" w:type="dxa"/>
            <w:vAlign w:val="center"/>
          </w:tcPr>
          <w:p w14:paraId="15D486CC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</w:pPr>
            <w:r>
              <w:t>预防乙型肝炎</w:t>
            </w:r>
          </w:p>
        </w:tc>
        <w:tc>
          <w:tcPr>
            <w:tcW w:w="1230" w:type="dxa"/>
            <w:vAlign w:val="center"/>
          </w:tcPr>
          <w:p w14:paraId="25B0252B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  <w:rPr>
                <w:spacing w:val="-15"/>
              </w:rPr>
            </w:pPr>
            <w:r>
              <w:rPr>
                <w:spacing w:val="-6"/>
              </w:rPr>
              <w:t>16岁（含16岁</w:t>
            </w:r>
            <w:r>
              <w:rPr>
                <w:spacing w:val="-15"/>
              </w:rPr>
              <w:t>)</w:t>
            </w:r>
          </w:p>
          <w:p w14:paraId="23EE8C10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15"/>
              </w:rPr>
              <w:t>以上人群</w:t>
            </w:r>
          </w:p>
        </w:tc>
        <w:tc>
          <w:tcPr>
            <w:tcW w:w="2430" w:type="dxa"/>
            <w:vAlign w:val="center"/>
          </w:tcPr>
          <w:p w14:paraId="602C64B6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4"/>
              </w:rPr>
              <w:t>共接种3剂，</w:t>
            </w:r>
          </w:p>
          <w:p w14:paraId="430BDA43">
            <w:pPr>
              <w:pStyle w:val="6"/>
              <w:spacing w:before="60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9"/>
              </w:rPr>
              <w:t>间隔0</w:t>
            </w:r>
            <w:r>
              <w:rPr>
                <w:rFonts w:hint="eastAsia"/>
                <w:spacing w:val="-9"/>
                <w:lang w:eastAsia="zh-CN"/>
              </w:rPr>
              <w:t>、</w:t>
            </w:r>
            <w:r>
              <w:rPr>
                <w:spacing w:val="-9"/>
              </w:rPr>
              <w:t>1</w:t>
            </w:r>
            <w:r>
              <w:rPr>
                <w:rFonts w:hint="eastAsia"/>
                <w:spacing w:val="-9"/>
                <w:lang w:eastAsia="zh-CN"/>
              </w:rPr>
              <w:t>、</w:t>
            </w:r>
            <w:r>
              <w:rPr>
                <w:spacing w:val="-9"/>
              </w:rPr>
              <w:t>6月</w:t>
            </w:r>
          </w:p>
        </w:tc>
        <w:tc>
          <w:tcPr>
            <w:tcW w:w="881" w:type="dxa"/>
            <w:vAlign w:val="center"/>
          </w:tcPr>
          <w:p w14:paraId="035504A2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6"/>
              </w:rPr>
              <w:t>140元/剂</w:t>
            </w:r>
          </w:p>
        </w:tc>
      </w:tr>
      <w:tr w14:paraId="1A7777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0" w:hRule="atLeast"/>
        </w:trPr>
        <w:tc>
          <w:tcPr>
            <w:tcW w:w="1110" w:type="dxa"/>
            <w:vAlign w:val="center"/>
          </w:tcPr>
          <w:p w14:paraId="4FFEAB1D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</w:rPr>
              <w:t>23</w:t>
            </w:r>
            <w:r>
              <w:t>价肺炎疫苗</w:t>
            </w:r>
          </w:p>
          <w:p w14:paraId="36A25550">
            <w:pPr>
              <w:pStyle w:val="6"/>
              <w:spacing w:before="51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8"/>
              </w:rPr>
              <w:t>（进口）</w:t>
            </w:r>
          </w:p>
        </w:tc>
        <w:tc>
          <w:tcPr>
            <w:tcW w:w="3330" w:type="dxa"/>
            <w:vAlign w:val="center"/>
          </w:tcPr>
          <w:p w14:paraId="4C60E887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  <w:rPr>
                <w:spacing w:val="-2"/>
              </w:rPr>
            </w:pPr>
            <w:r>
              <w:rPr>
                <w:spacing w:val="-4"/>
              </w:rPr>
              <w:t>中国上市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25</w:t>
            </w:r>
            <w:r>
              <w:rPr>
                <w:spacing w:val="-4"/>
              </w:rPr>
              <w:t>年；接种本品后，</w:t>
            </w:r>
            <w:r>
              <w:rPr>
                <w:spacing w:val="-31"/>
              </w:rPr>
              <w:t xml:space="preserve"> </w:t>
            </w:r>
            <w:r>
              <w:rPr>
                <w:spacing w:val="-4"/>
              </w:rPr>
              <w:t>糖尿</w:t>
            </w:r>
            <w:r>
              <w:rPr>
                <w:spacing w:val="-1"/>
              </w:rPr>
              <w:t>病人减少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84%</w:t>
            </w:r>
            <w:r>
              <w:rPr>
                <w:spacing w:val="-1"/>
              </w:rPr>
              <w:t>血清型引起的感染； 冠心病病人减少</w:t>
            </w:r>
            <w:r>
              <w:rPr>
                <w:rFonts w:ascii="Times New Roman" w:hAnsi="Times New Roman" w:eastAsia="Times New Roman" w:cs="Times New Roman"/>
                <w:spacing w:val="-1"/>
              </w:rPr>
              <w:t>73%</w:t>
            </w:r>
            <w:r>
              <w:rPr>
                <w:spacing w:val="-1"/>
              </w:rPr>
              <w:t>血清型引起的感染；</w:t>
            </w:r>
            <w:r>
              <w:t>充血性心力衰竭病人减少</w:t>
            </w:r>
            <w:r>
              <w:rPr>
                <w:rFonts w:ascii="Times New Roman" w:hAnsi="Times New Roman" w:eastAsia="Times New Roman" w:cs="Times New Roman"/>
              </w:rPr>
              <w:t>69%</w:t>
            </w:r>
            <w:r>
              <w:t>血清型引</w:t>
            </w:r>
            <w:r>
              <w:rPr>
                <w:spacing w:val="1"/>
              </w:rPr>
              <w:t>起的感染；对</w:t>
            </w:r>
            <w:r>
              <w:rPr>
                <w:rFonts w:ascii="Times New Roman" w:hAnsi="Times New Roman" w:eastAsia="Times New Roman" w:cs="Times New Roman"/>
                <w:spacing w:val="1"/>
              </w:rPr>
              <w:t>65</w:t>
            </w:r>
            <w:r>
              <w:rPr>
                <w:spacing w:val="1"/>
              </w:rPr>
              <w:t>岁以上免疫功能正常</w:t>
            </w:r>
            <w:r>
              <w:t>者的有效性为</w:t>
            </w:r>
            <w:r>
              <w:rPr>
                <w:rFonts w:ascii="Times New Roman" w:hAnsi="Times New Roman" w:eastAsia="Times New Roman" w:cs="Times New Roman"/>
              </w:rPr>
              <w:t>75%</w:t>
            </w:r>
            <w:r>
              <w:t>；</w:t>
            </w:r>
            <w:r>
              <w:rPr>
                <w:spacing w:val="-29"/>
              </w:rPr>
              <w:t xml:space="preserve"> </w:t>
            </w:r>
            <w:r>
              <w:t>接种后保护效力</w:t>
            </w:r>
            <w:r>
              <w:rPr>
                <w:spacing w:val="-2"/>
              </w:rPr>
              <w:t>长达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10</w:t>
            </w:r>
            <w:r>
              <w:rPr>
                <w:spacing w:val="-2"/>
              </w:rPr>
              <w:t>年；</w:t>
            </w:r>
          </w:p>
          <w:p w14:paraId="0178D921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全球应用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&gt;3.5</w:t>
            </w:r>
            <w:r>
              <w:rPr>
                <w:spacing w:val="-2"/>
              </w:rPr>
              <w:t>亿剂。</w:t>
            </w:r>
          </w:p>
        </w:tc>
        <w:tc>
          <w:tcPr>
            <w:tcW w:w="2070" w:type="dxa"/>
            <w:vAlign w:val="center"/>
          </w:tcPr>
          <w:p w14:paraId="4D2C5B78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3"/>
              </w:rPr>
              <w:t>用于预防疫苗所含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23</w:t>
            </w:r>
            <w:r>
              <w:rPr>
                <w:spacing w:val="-3"/>
              </w:rPr>
              <w:t>种肺</w:t>
            </w:r>
          </w:p>
          <w:p w14:paraId="43F9BB96">
            <w:pPr>
              <w:pStyle w:val="6"/>
              <w:spacing w:before="1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6"/>
              </w:rPr>
              <w:t>炎球菌血清型导</w:t>
            </w:r>
            <w:r>
              <w:rPr>
                <w:rFonts w:hint="eastAsia"/>
                <w:spacing w:val="-6"/>
                <w:lang w:val="en-US" w:eastAsia="zh-CN"/>
              </w:rPr>
              <w:t>致</w:t>
            </w:r>
            <w:r>
              <w:rPr>
                <w:spacing w:val="-6"/>
              </w:rPr>
              <w:t>的</w:t>
            </w:r>
          </w:p>
          <w:p w14:paraId="0FB6DDD7">
            <w:pPr>
              <w:pStyle w:val="6"/>
              <w:spacing w:before="1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3"/>
              </w:rPr>
              <w:t>肺炎球菌感染性疾病</w:t>
            </w:r>
          </w:p>
        </w:tc>
        <w:tc>
          <w:tcPr>
            <w:tcW w:w="1230" w:type="dxa"/>
            <w:vAlign w:val="center"/>
          </w:tcPr>
          <w:p w14:paraId="2384953A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spacing w:val="1"/>
              </w:rPr>
              <w:t>2</w:t>
            </w:r>
            <w:r>
              <w:rPr>
                <w:spacing w:val="1"/>
              </w:rPr>
              <w:t>岁及以上人</w:t>
            </w:r>
            <w:r>
              <w:t>群</w:t>
            </w:r>
          </w:p>
        </w:tc>
        <w:tc>
          <w:tcPr>
            <w:tcW w:w="2430" w:type="dxa"/>
            <w:vAlign w:val="center"/>
          </w:tcPr>
          <w:p w14:paraId="3CD28677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3"/>
              </w:rPr>
              <w:t>共接种</w:t>
            </w:r>
            <w:r>
              <w:rPr>
                <w:rFonts w:ascii="Times New Roman" w:hAnsi="Times New Roman" w:eastAsia="Times New Roman" w:cs="Times New Roman"/>
                <w:spacing w:val="-3"/>
              </w:rPr>
              <w:t>1</w:t>
            </w:r>
            <w:r>
              <w:rPr>
                <w:spacing w:val="-3"/>
              </w:rPr>
              <w:t>剂；</w:t>
            </w:r>
          </w:p>
          <w:p w14:paraId="717CB905">
            <w:pPr>
              <w:pStyle w:val="6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</w:rPr>
              <w:t>65</w:t>
            </w:r>
            <w:r>
              <w:t>岁以上间隔五年以</w:t>
            </w:r>
          </w:p>
          <w:p w14:paraId="7FF9F43F">
            <w:pPr>
              <w:pStyle w:val="6"/>
              <w:spacing w:line="240" w:lineRule="auto"/>
              <w:ind w:left="0" w:leftChars="0" w:right="0" w:rightChars="0" w:firstLine="0" w:firstLineChars="0"/>
              <w:jc w:val="center"/>
            </w:pPr>
            <w:r>
              <w:t>上可再接</w:t>
            </w:r>
            <w:r>
              <w:rPr>
                <w:spacing w:val="-4"/>
              </w:rPr>
              <w:t>种</w:t>
            </w:r>
            <w:r>
              <w:rPr>
                <w:rFonts w:ascii="Times New Roman" w:hAnsi="Times New Roman" w:eastAsia="Times New Roman" w:cs="Times New Roman"/>
                <w:spacing w:val="-4"/>
              </w:rPr>
              <w:t>1</w:t>
            </w:r>
            <w:r>
              <w:rPr>
                <w:spacing w:val="-4"/>
              </w:rPr>
              <w:t>剂</w:t>
            </w:r>
          </w:p>
        </w:tc>
        <w:tc>
          <w:tcPr>
            <w:tcW w:w="881" w:type="dxa"/>
            <w:vAlign w:val="center"/>
          </w:tcPr>
          <w:p w14:paraId="715FC408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</w:pPr>
            <w:r>
              <w:rPr>
                <w:rFonts w:ascii="Times New Roman" w:hAnsi="Times New Roman" w:eastAsia="Times New Roman" w:cs="Times New Roman"/>
                <w:spacing w:val="-2"/>
              </w:rPr>
              <w:t>280</w:t>
            </w:r>
            <w:r>
              <w:rPr>
                <w:spacing w:val="-2"/>
              </w:rPr>
              <w:t>元</w:t>
            </w:r>
            <w:r>
              <w:rPr>
                <w:rFonts w:ascii="Times New Roman" w:hAnsi="Times New Roman" w:eastAsia="Times New Roman" w:cs="Times New Roman"/>
                <w:spacing w:val="-2"/>
              </w:rPr>
              <w:t>/</w:t>
            </w:r>
            <w:r>
              <w:rPr>
                <w:spacing w:val="-2"/>
              </w:rPr>
              <w:t>剂</w:t>
            </w:r>
          </w:p>
        </w:tc>
      </w:tr>
      <w:tr w14:paraId="121FBB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0" w:hRule="atLeast"/>
        </w:trPr>
        <w:tc>
          <w:tcPr>
            <w:tcW w:w="1110" w:type="dxa"/>
            <w:vAlign w:val="center"/>
          </w:tcPr>
          <w:p w14:paraId="2D47AE1E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5"/>
              </w:rPr>
              <w:t>带状疱疹疫苗</w:t>
            </w:r>
          </w:p>
          <w:p w14:paraId="00015342">
            <w:pPr>
              <w:pStyle w:val="6"/>
              <w:spacing w:before="4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12"/>
              </w:rPr>
              <w:t>(进口)</w:t>
            </w:r>
          </w:p>
        </w:tc>
        <w:tc>
          <w:tcPr>
            <w:tcW w:w="3330" w:type="dxa"/>
            <w:vAlign w:val="center"/>
          </w:tcPr>
          <w:p w14:paraId="43A658F9">
            <w:pPr>
              <w:pStyle w:val="6"/>
              <w:spacing w:before="246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3"/>
              </w:rPr>
              <w:t>带状疱疹带来的最大危害就是疼痛，</w:t>
            </w:r>
          </w:p>
          <w:p w14:paraId="12C23B63">
            <w:pPr>
              <w:pStyle w:val="6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3"/>
              </w:rPr>
              <w:t>除了皮肤上的水疱和红斑，更可怕的</w:t>
            </w:r>
          </w:p>
          <w:p w14:paraId="586F703E">
            <w:pPr>
              <w:pStyle w:val="6"/>
              <w:spacing w:line="240" w:lineRule="auto"/>
              <w:ind w:left="0" w:leftChars="0" w:right="0" w:rightChars="0" w:firstLine="0" w:firstLineChars="0"/>
              <w:jc w:val="center"/>
              <w:rPr>
                <w:spacing w:val="-3"/>
              </w:rPr>
            </w:pPr>
            <w:r>
              <w:rPr>
                <w:spacing w:val="-3"/>
              </w:rPr>
              <w:t>是带状疱疹后神经痛。这种疼痛的持续</w:t>
            </w:r>
          </w:p>
          <w:p w14:paraId="5610F5E8">
            <w:pPr>
              <w:pStyle w:val="6"/>
              <w:spacing w:line="240" w:lineRule="auto"/>
              <w:ind w:left="0" w:leftChars="0" w:right="0" w:rightChars="0" w:firstLine="0" w:firstLineChars="0"/>
              <w:jc w:val="center"/>
              <w:rPr>
                <w:spacing w:val="-3"/>
              </w:rPr>
            </w:pPr>
            <w:r>
              <w:rPr>
                <w:spacing w:val="-3"/>
              </w:rPr>
              <w:t>时间往往很长，短则数月，长则数年，甚</w:t>
            </w:r>
          </w:p>
          <w:p w14:paraId="7FAFF45F">
            <w:pPr>
              <w:pStyle w:val="6"/>
              <w:spacing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3"/>
              </w:rPr>
              <w:t>至数十年。部分带状疱疹的皮疹消失后，仍要长期忍受着神经痛的折磨。</w:t>
            </w:r>
          </w:p>
        </w:tc>
        <w:tc>
          <w:tcPr>
            <w:tcW w:w="2070" w:type="dxa"/>
            <w:vAlign w:val="center"/>
          </w:tcPr>
          <w:p w14:paraId="7A1430F8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spacing w:val="1"/>
              </w:rPr>
              <w:t>本品适用于预防带状疱疹</w:t>
            </w:r>
            <w:r>
              <w:rPr>
                <w:rFonts w:hint="eastAsia"/>
                <w:spacing w:val="1"/>
                <w:lang w:eastAsia="zh-CN"/>
              </w:rPr>
              <w:t>；</w:t>
            </w:r>
          </w:p>
          <w:p w14:paraId="70984F37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</w:pPr>
            <w:r>
              <w:t>不适用于预防原发性水</w:t>
            </w:r>
            <w:r>
              <w:rPr>
                <w:spacing w:val="-4"/>
              </w:rPr>
              <w:t>痘</w:t>
            </w:r>
          </w:p>
        </w:tc>
        <w:tc>
          <w:tcPr>
            <w:tcW w:w="1230" w:type="dxa"/>
            <w:vAlign w:val="center"/>
          </w:tcPr>
          <w:p w14:paraId="03356419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5"/>
              </w:rPr>
              <w:t>50岁以上人群</w:t>
            </w:r>
          </w:p>
        </w:tc>
        <w:tc>
          <w:tcPr>
            <w:tcW w:w="2430" w:type="dxa"/>
            <w:vAlign w:val="center"/>
          </w:tcPr>
          <w:p w14:paraId="5002B53E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  <w:rPr>
                <w:spacing w:val="-6"/>
              </w:rPr>
            </w:pPr>
            <w:r>
              <w:rPr>
                <w:spacing w:val="-6"/>
              </w:rPr>
              <w:t xml:space="preserve">共接种2剂， </w:t>
            </w:r>
          </w:p>
          <w:p w14:paraId="6CF4C8DB">
            <w:pPr>
              <w:pStyle w:val="6"/>
              <w:spacing w:before="58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6"/>
              </w:rPr>
              <w:t>2剂间隔</w:t>
            </w:r>
            <w:r>
              <w:rPr>
                <w:spacing w:val="-5"/>
              </w:rPr>
              <w:t>2-6月</w:t>
            </w:r>
          </w:p>
        </w:tc>
        <w:tc>
          <w:tcPr>
            <w:tcW w:w="881" w:type="dxa"/>
            <w:vAlign w:val="center"/>
          </w:tcPr>
          <w:p w14:paraId="7B545DD3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6"/>
              </w:rPr>
              <w:t>1630元/剂</w:t>
            </w:r>
          </w:p>
          <w:p w14:paraId="3A163C85">
            <w:pPr>
              <w:pStyle w:val="6"/>
              <w:spacing w:before="59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5"/>
                <w:shd w:val="clear" w:fill="FFFF00"/>
              </w:rPr>
              <w:t>惠民活动减</w:t>
            </w:r>
          </w:p>
          <w:p w14:paraId="59A63C02">
            <w:pPr>
              <w:pStyle w:val="6"/>
              <w:spacing w:before="46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5"/>
                <w:shd w:val="clear" w:fill="FFFF00"/>
              </w:rPr>
              <w:t>免一针疫苗</w:t>
            </w:r>
          </w:p>
          <w:p w14:paraId="4C512A06">
            <w:pPr>
              <w:pStyle w:val="6"/>
              <w:spacing w:before="48" w:line="240" w:lineRule="auto"/>
              <w:ind w:left="0" w:leftChars="0" w:right="0" w:rightChars="0" w:firstLine="0" w:firstLineChars="0"/>
              <w:jc w:val="center"/>
            </w:pPr>
            <w:r>
              <w:rPr>
                <w:spacing w:val="-9"/>
                <w:shd w:val="clear" w:fill="FFFF00"/>
              </w:rPr>
              <w:t>费用</w:t>
            </w:r>
          </w:p>
        </w:tc>
      </w:tr>
      <w:tr w14:paraId="4E18AE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0" w:hRule="atLeast"/>
        </w:trPr>
        <w:tc>
          <w:tcPr>
            <w:tcW w:w="1110" w:type="dxa"/>
            <w:shd w:val="clear"/>
            <w:vAlign w:val="center"/>
          </w:tcPr>
          <w:p w14:paraId="39F63FFB">
            <w:pPr>
              <w:spacing w:line="225" w:lineRule="auto"/>
              <w:ind w:firstLine="166" w:firstLineChars="100"/>
              <w:jc w:val="both"/>
              <w:rPr>
                <w:rFonts w:hint="eastAsia" w:ascii="宋体" w:hAnsi="宋体" w:eastAsia="宋体" w:cs="宋体"/>
                <w:snapToGrid w:val="0"/>
                <w:color w:val="000000"/>
                <w:spacing w:val="-7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18"/>
                <w:szCs w:val="18"/>
              </w:rPr>
              <w:t>破伤风疫苗</w:t>
            </w:r>
          </w:p>
        </w:tc>
        <w:tc>
          <w:tcPr>
            <w:tcW w:w="3330" w:type="dxa"/>
            <w:shd w:val="clear"/>
            <w:vAlign w:val="center"/>
          </w:tcPr>
          <w:p w14:paraId="757618A9">
            <w:pPr>
              <w:spacing w:before="1" w:line="216" w:lineRule="auto"/>
              <w:ind w:right="149"/>
              <w:jc w:val="both"/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</w:pPr>
          </w:p>
          <w:p w14:paraId="71FD780D">
            <w:pPr>
              <w:spacing w:before="1" w:line="216" w:lineRule="auto"/>
              <w:ind w:left="34" w:right="149" w:firstLine="2"/>
              <w:jc w:val="center"/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</w:pPr>
          </w:p>
          <w:p w14:paraId="3AA064D6">
            <w:pPr>
              <w:spacing w:before="1" w:line="216" w:lineRule="auto"/>
              <w:ind w:left="34" w:right="149" w:firstLine="2"/>
              <w:jc w:val="center"/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>清洁伤口：全程免疫后5年内无需处理；5-10年加强1剂；超过10年需接种1剂</w:t>
            </w:r>
          </w:p>
          <w:p w14:paraId="5D0CD137">
            <w:pPr>
              <w:spacing w:before="1" w:line="216" w:lineRule="auto"/>
              <w:ind w:left="34" w:right="149" w:firstLine="2"/>
              <w:jc w:val="center"/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>疫苗。</w:t>
            </w:r>
          </w:p>
          <w:p w14:paraId="5EE39A5E">
            <w:pPr>
              <w:spacing w:before="1" w:line="216" w:lineRule="auto"/>
              <w:ind w:left="34" w:leftChars="0" w:right="149" w:rightChars="0" w:firstLine="2" w:firstLineChars="0"/>
              <w:jc w:val="center"/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>不洁或污染伤口：全程免疫后5-10年加强1剂；超过10年需接种1剂疫苗和破伤风免疫球蛋白（TIG）或破伤风抗毒素</w:t>
            </w:r>
          </w:p>
          <w:p w14:paraId="1B8D3121">
            <w:pPr>
              <w:spacing w:before="1" w:line="216" w:lineRule="auto"/>
              <w:ind w:left="34" w:leftChars="0" w:right="149" w:rightChars="0" w:firstLine="2" w:firstLine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-1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</w:rPr>
              <w:t>（TAT）。</w:t>
            </w:r>
          </w:p>
        </w:tc>
        <w:tc>
          <w:tcPr>
            <w:tcW w:w="2070" w:type="dxa"/>
            <w:shd w:val="clear"/>
            <w:vAlign w:val="center"/>
          </w:tcPr>
          <w:p w14:paraId="045AAB85">
            <w:pPr>
              <w:spacing w:before="2" w:line="197" w:lineRule="auto"/>
              <w:ind w:left="48" w:leftChars="0" w:right="49" w:right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-3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3"/>
                <w:sz w:val="18"/>
                <w:szCs w:val="18"/>
              </w:rPr>
              <w:t>用于预防破伤风</w:t>
            </w:r>
          </w:p>
        </w:tc>
        <w:tc>
          <w:tcPr>
            <w:tcW w:w="1230" w:type="dxa"/>
            <w:shd w:val="clear"/>
            <w:vAlign w:val="center"/>
          </w:tcPr>
          <w:p w14:paraId="2BF3628F">
            <w:pPr>
              <w:spacing w:before="55" w:line="206" w:lineRule="auto"/>
              <w:ind w:left="37" w:leftChars="0" w:right="63" w:rightChars="0" w:firstLine="4" w:firstLineChars="0"/>
              <w:jc w:val="center"/>
              <w:rPr>
                <w:rFonts w:ascii="Times New Roman" w:hAnsi="Times New Roman" w:eastAsia="Times New Roman" w:cs="Times New Roman"/>
                <w:snapToGrid w:val="0"/>
                <w:color w:val="000000"/>
                <w:spacing w:val="3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Times New Roman" w:hAnsi="Times New Roman" w:eastAsia="Times New Roman" w:cs="Times New Roman"/>
                <w:spacing w:val="3"/>
                <w:sz w:val="18"/>
                <w:szCs w:val="18"/>
              </w:rPr>
              <w:t>根据个人免疫史和伤口情况，咨询医生制定具体接种方案。</w:t>
            </w:r>
          </w:p>
        </w:tc>
        <w:tc>
          <w:tcPr>
            <w:tcW w:w="2430" w:type="dxa"/>
            <w:shd w:val="clear"/>
            <w:vAlign w:val="center"/>
          </w:tcPr>
          <w:p w14:paraId="4F2D7FDA">
            <w:pPr>
              <w:spacing w:line="232" w:lineRule="auto"/>
              <w:ind w:left="45"/>
              <w:jc w:val="center"/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成人接种程序</w:t>
            </w:r>
          </w:p>
          <w:p w14:paraId="66ED5639">
            <w:pPr>
              <w:spacing w:line="232" w:lineRule="auto"/>
              <w:ind w:left="45"/>
              <w:jc w:val="center"/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全程免疫：未接种或免疫史不详者，需接种3剂，第1剂与第2剂间隔4-8周，第2剂与第3剂间隔6-12个月。</w:t>
            </w:r>
          </w:p>
          <w:p w14:paraId="66A4F6C4">
            <w:pPr>
              <w:spacing w:line="232" w:lineRule="auto"/>
              <w:ind w:left="45" w:left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spacing w:val="-2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2"/>
                <w:sz w:val="18"/>
                <w:szCs w:val="18"/>
              </w:rPr>
              <w:t>加强免疫：全程免疫后，每10年加强1剂；若伤口为不洁或污染伤口，且距上次接种超过5年，需加强1剂。</w:t>
            </w:r>
          </w:p>
        </w:tc>
        <w:tc>
          <w:tcPr>
            <w:tcW w:w="881" w:type="dxa"/>
            <w:shd w:val="clear"/>
            <w:vAlign w:val="center"/>
          </w:tcPr>
          <w:p w14:paraId="053A1303">
            <w:pPr>
              <w:spacing w:before="55" w:line="233" w:lineRule="auto"/>
              <w:ind w:left="184" w:leftChars="0"/>
              <w:jc w:val="center"/>
              <w:rPr>
                <w:rFonts w:ascii="Times New Roman" w:hAnsi="Times New Roman" w:eastAsia="宋体" w:cs="Times New Roman"/>
                <w:snapToGrid w:val="0"/>
                <w:color w:val="000000"/>
                <w:spacing w:val="-1"/>
                <w:kern w:val="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Times New Roman" w:hAnsi="Times New Roman" w:eastAsia="宋体" w:cs="Times New Roman"/>
                <w:spacing w:val="-1"/>
                <w:sz w:val="18"/>
                <w:szCs w:val="18"/>
              </w:rPr>
              <w:t>212元/剂</w:t>
            </w:r>
          </w:p>
        </w:tc>
      </w:tr>
    </w:tbl>
    <w:p w14:paraId="608FBA14">
      <w:pPr>
        <w:rPr>
          <w:rFonts w:ascii="Arial"/>
          <w:sz w:val="21"/>
        </w:rPr>
      </w:pPr>
    </w:p>
    <w:sectPr>
      <w:pgSz w:w="11903" w:h="16841"/>
      <w:pgMar w:top="1321" w:right="331" w:bottom="0" w:left="60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C4F47B0-BF0C-4021-B677-6BE0FAED98F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BDF74B07-CC61-47DA-AD25-0EEAA1BC803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2B47D3B"/>
    <w:rsid w:val="07CE6A48"/>
    <w:rsid w:val="1340403C"/>
    <w:rsid w:val="16FE0496"/>
    <w:rsid w:val="1CA52A4B"/>
    <w:rsid w:val="203E13F4"/>
    <w:rsid w:val="21674E89"/>
    <w:rsid w:val="230961F8"/>
    <w:rsid w:val="2483022C"/>
    <w:rsid w:val="24A65CC9"/>
    <w:rsid w:val="27BF5A1F"/>
    <w:rsid w:val="2D0550C6"/>
    <w:rsid w:val="2D1F703A"/>
    <w:rsid w:val="2FEF49C8"/>
    <w:rsid w:val="32C37B36"/>
    <w:rsid w:val="376E5934"/>
    <w:rsid w:val="3AFC485D"/>
    <w:rsid w:val="40D44B81"/>
    <w:rsid w:val="47327B74"/>
    <w:rsid w:val="4B841097"/>
    <w:rsid w:val="4C2555A1"/>
    <w:rsid w:val="4DBA6E7C"/>
    <w:rsid w:val="568E5C3E"/>
    <w:rsid w:val="67206C39"/>
    <w:rsid w:val="70C5527F"/>
    <w:rsid w:val="725539CE"/>
    <w:rsid w:val="7A475CA8"/>
    <w:rsid w:val="7A804167"/>
    <w:rsid w:val="7B424F78"/>
    <w:rsid w:val="7B531545"/>
    <w:rsid w:val="7C08447A"/>
    <w:rsid w:val="7E3F1C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6bdcf8d3-e71d-4259-a4f2-d83c42e27c23</errorID>
      <errorWord>传染 病</errorWord>
      <group>L1_Word</group>
      <groupName>字词问题</groupName>
      <ability>L2_Typo</ability>
      <abilityName>字词错误</abilityName>
      <candidateList>
        <item>传染病</item>
      </candidateList>
      <explain/>
      <paraID>7D6A8F2E</paraID>
      <start>21</start>
      <end>25</end>
      <status>unmodified</status>
      <modifiedWord/>
      <trackRevisions>false</trackRevisions>
    </reviewItem>
    <reviewItem>
      <errorID>29abde8f-4a46-496e-af1d-5c559bc2d9dc</errorID>
      <errorWord>80%-90%</errorWord>
      <group>L1_Knowledge</group>
      <groupName>知识性问题</groupName>
      <ability>L2_Knowledge</ability>
      <abilityName>其他知识</abilityName>
      <candidateList>
        <item>80%—90%</item>
      </candidateList>
      <explain>1. “80%-90%”中的单位“%”仅出现在后一个数字上，容易引起歧义；根据《现代汉语标点符号数字用法规范手册》，数字表示范围两边需要使用统一的格式。2.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5CB52ED4</paraID>
      <start>0</start>
      <end>7</end>
      <status>unmodified</status>
      <modifiedWord/>
      <trackRevisions>false</trackRevisions>
    </reviewItem>
    <reviewItem>
      <errorID>cc8b4844-353b-4d8c-98fa-bef30e0d1b32</errorID>
      <errorWord>、</errorWord>
      <group>L1_Punc</group>
      <groupName>标点问题</groupName>
      <ability>L2_Punc_CN</ability>
      <abilityName>标点符号问题</abilityName>
      <candidateList/>
      <explain/>
      <paraID>36B80D8B</paraID>
      <start>0</start>
      <end>1</end>
      <status>unmodified</status>
      <modifiedWord/>
      <trackRevisions>false</trackRevisions>
    </reviewItem>
    <reviewItem>
      <errorID>ecab51d7-e105-463b-a60a-b0035e61cd10</errorID>
      <errorWord>、</errorWord>
      <group>L1_Punc</group>
      <groupName>标点问题</groupName>
      <ability>L2_Punc_CN</ability>
      <abilityName>标点符号问题</abilityName>
      <candidateList/>
      <explain/>
      <paraID>7522E0D3</paraID>
      <start>0</start>
      <end>1</end>
      <status>unmodified</status>
      <modifiedWord/>
      <trackRevisions>false</trackRevisions>
    </reviewItem>
    <reviewItem>
      <errorID>8e1b21d1-f8f5-41ee-b129-c668ee467c68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50E7AF5C</paraID>
      <start>4</start>
      <end>5</end>
      <status>unmodified</status>
      <modifiedWord/>
      <trackRevisions>false</trackRevisions>
    </reviewItem>
    <reviewItem>
      <errorID>6f818548-b285-4645-81e1-e361fdfa3b8a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50E7AF5C</paraID>
      <start>9</start>
      <end>10</end>
      <status>unmodified</status>
      <modifiedWord/>
      <trackRevisions>false</trackRevisions>
    </reviewItem>
    <reviewItem>
      <errorID>7f063a14-31b2-4ad7-ad4f-7c1b4af9f098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23EE8C10</paraID>
      <start>11</start>
      <end>12</end>
      <status>unmodified</status>
      <modifiedWord/>
      <trackRevisions>false</trackRevisions>
    </reviewItem>
    <reviewItem>
      <errorID>bd34d9e9-9666-4931-ab5b-38e1f29d2d41</errorID>
      <errorWord>、</errorWord>
      <group>L1_Punc</group>
      <groupName>标点问题</groupName>
      <ability>L2_Punc_CN</ability>
      <abilityName>标点符号问题</abilityName>
      <candidateList/>
      <explain/>
      <paraID>30DB1A1A</paraID>
      <start>0</start>
      <end>1</end>
      <status>unmodified</status>
      <modifiedWord/>
      <trackRevisions>false</trackRevisions>
    </reviewItem>
    <reviewItem>
      <errorID>4989dd9a-41cf-4cfa-b693-f6cb35e1d73f</errorID>
      <errorWord>、</errorWord>
      <group>L1_Punc</group>
      <groupName>标点问题</groupName>
      <ability>L2_Punc_CN</ability>
      <abilityName>标点符号问题</abilityName>
      <candidateList/>
      <explain/>
      <paraID>710D71D3</paraID>
      <start>0</start>
      <end>1</end>
      <status>unmodified</status>
      <modifiedWord/>
      <trackRevisions>false</trackRevisions>
    </reviewItem>
    <reviewItem>
      <errorID>7203f427-2508-448c-89b9-72653f2be872</errorID>
      <errorWord>、</errorWord>
      <group>L1_Punc</group>
      <groupName>标点问题</groupName>
      <ability>L2_Punc_CN</ability>
      <abilityName>标点符号问题</abilityName>
      <candidateList/>
      <explain/>
      <paraID>5A40A387</paraID>
      <start>0</start>
      <end>1</end>
      <status>unmodified</status>
      <modifiedWord/>
      <trackRevisions>false</trackRevisions>
    </reviewItem>
    <reviewItem>
      <errorID>bc88e558-a7be-4e60-936c-c0ff21807039</errorID>
      <errorWord>、</errorWord>
      <group>L1_Punc</group>
      <groupName>标点问题</groupName>
      <ability>L2_Punc_CN</ability>
      <abilityName>标点符号问题</abilityName>
      <candidateList/>
      <explain/>
      <paraID>4ECD7C67</paraID>
      <start>0</start>
      <end>1</end>
      <status>unmodified</status>
      <modifiedWord/>
      <trackRevisions>false</trackRevisions>
    </reviewItem>
    <reviewItem>
      <errorID>2faf4b1f-5d0f-404f-ac72-4441b026cf86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   15342</paraID>
      <start>0</start>
      <end>1</end>
      <status>unmodified</status>
      <modifiedWord/>
      <trackRevisions>false</trackRevisions>
    </reviewItem>
    <reviewItem>
      <errorID>0d0fd2e6-ed84-4e34-8df1-8595ee83f29e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   15342</paraID>
      <start>3</start>
      <end>4</end>
      <status>unmodified</status>
      <modifiedWord/>
      <trackRevisions>false</trackRevisions>
    </reviewItem>
    <reviewItem>
      <errorID>1f3c8088-9f2c-42d3-b9db-d15b9cfb541f</errorID>
      <errorWord>。</errorWord>
      <group>L1_Punc</group>
      <groupName>标点问题</groupName>
      <ability>L2_Punc_CN</ability>
      <abilityName>标点符号问题</abilityName>
      <candidateList/>
      <explain/>
      <paraID>669A7A11</paraID>
      <start>0</start>
      <end>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11dc61e-f276-464e-b3f8-dc5eeba87e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1207</Words>
  <Characters>1449</Characters>
  <TotalTime>5</TotalTime>
  <ScaleCrop>false</ScaleCrop>
  <LinksUpToDate>false</LinksUpToDate>
  <CharactersWithSpaces>1560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2026-08-25T10:50:00Z</dcterms:created>
  <dc:creator>小沙贝贝</dc:creator>
  <cp:lastModifiedBy>若水</cp:lastModifiedBy>
  <dcterms:modified xsi:type="dcterms:W3CDTF">2026-09-21T08:26:16Z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2026-09-21T15:23:31Z</vt:filetime>
  </property>
  <property fmtid="{D5CDD505-2E9C-101B-9397-08002B2CF9AE}" pid="4" name="KSOTemplateDocerSaveRecord">
    <vt:lpwstr>eyJoZGlkIjoiZDU3MmE1MDM2NDRjYzc5YzI5MDBjYWUxZWVlMmM2MmEiLCJ1c2VySWQiOiI3MDE1OTQ1MzcifQ==</vt:lpwstr>
  </property>
  <property fmtid="{D5CDD505-2E9C-101B-9397-08002B2CF9AE}" pid="5" name="KSOProductBuildVer">
    <vt:lpwstr>2052-12.1.0.28043</vt:lpwstr>
  </property>
  <property fmtid="{D5CDD505-2E9C-101B-9397-08002B2CF9AE}" pid="6" name="ICV">
    <vt:lpwstr>923AA983502447788FFD7109BA552042_12</vt:lpwstr>
  </property>
</Properties>
</file>