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ind w:left="0" w:firstLine="0" w:firstLineChars="0"/>
        <w:jc w:val="center"/>
        <w:rPr>
          <w:rFonts w:ascii="黑体" w:hAnsi="黑体" w:eastAsia="黑体"/>
          <w:kern w:val="0"/>
          <w:sz w:val="36"/>
          <w:szCs w:val="36"/>
        </w:rPr>
      </w:pPr>
      <w:r>
        <w:rPr>
          <w:rFonts w:hint="eastAsia" w:ascii="黑体" w:hAnsi="黑体" w:eastAsia="黑体" w:cs="黑体"/>
          <w:kern w:val="0"/>
          <w:sz w:val="36"/>
          <w:szCs w:val="36"/>
        </w:rPr>
        <w:t>广西师范大学档案归档基本业务规范（试行）</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为加强广西师范大学档案业务建设，规范归档整理业务操作，提高档案管理质量和水平，做到门类齐全、结构合理、管理科学、服务有效，根据《高等学校档案管理办法》《高等学校档案工作规范》《归档文件整理规则》（</w:t>
      </w:r>
      <w:r>
        <w:rPr>
          <w:rFonts w:ascii="仿宋" w:hAnsi="仿宋" w:eastAsia="仿宋" w:cs="仿宋"/>
          <w:kern w:val="0"/>
          <w:sz w:val="32"/>
          <w:szCs w:val="32"/>
        </w:rPr>
        <w:t>DA/T22-2015</w:t>
      </w:r>
      <w:r>
        <w:rPr>
          <w:rFonts w:hint="eastAsia" w:ascii="仿宋" w:hAnsi="仿宋" w:eastAsia="仿宋" w:cs="仿宋"/>
          <w:kern w:val="0"/>
          <w:sz w:val="32"/>
          <w:szCs w:val="32"/>
        </w:rPr>
        <w:t>）等法规标准，结合学校实际，制定本规范。</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rPr>
        <w:t>一、归档范围</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学校在教学、科研、管理和其他各项活动中直接形成的对学校和社会具有保存价值的文字、图表、声像等不同载体的文件材料，均属学校档案。</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广西师范大学应归档的材料包括：党群、行政、教学、科研、基本建设、仪器设备、产品生产、出版物、外事、财会及声像、实物等十二大类的材料及其相应的电子文档。</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．归档的档案材料包括纸质、电子、照（胶）片、录像（录音）带、光盘等各种载体形式。</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rPr>
        <w:t>二、归档整理原则</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归档整理是指将应归档的文件材料以件（或卷）为单位进行分类、组件、组卷、排列、编号、编目、装订、装盒，使之有序化的过程。归档整理应遵循以下原则：</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遵循文件的自然形成规律，保持文件之间的有机联系。</w:t>
      </w:r>
    </w:p>
    <w:p>
      <w:pPr>
        <w:widowControl w:val="0"/>
        <w:adjustRightInd w:val="0"/>
        <w:snapToGrid w:val="0"/>
        <w:ind w:left="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区分不同价值，便于保管和利用。</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符合文档一体化要求，便于计算机管理和计算机辅助管理。</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保证纸质文件和电子文件整理协调统一。</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rPr>
        <w:t>三、归档材料的质量要求</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内容真实，齐全完整。</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页面整洁，图文清晰。</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规格统一，手续完备。</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书写和制作材料符合规定。</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rPr>
        <w:t>四、保管期限划分</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根据学校工作和为国家积累历史文化财富的需要，按照文件材料的保存价值，广西师范大学档案保管期限分为永久、定期（30年）/长期和定期（10年）/短期三种。</w:t>
      </w:r>
    </w:p>
    <w:p>
      <w:pPr>
        <w:widowControl w:val="0"/>
        <w:adjustRightInd w:val="0"/>
        <w:snapToGrid w:val="0"/>
        <w:ind w:left="0"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．永久：凡是反映学校主要职能活动和基本历史面貌、对学校发展、国家建设、历史研究有长远利用价值的，列为永久保管。</w:t>
      </w:r>
    </w:p>
    <w:p>
      <w:pPr>
        <w:widowControl w:val="0"/>
        <w:adjustRightInd w:val="0"/>
        <w:snapToGrid w:val="0"/>
        <w:ind w:left="0" w:firstLine="640"/>
        <w:jc w:val="both"/>
        <w:rPr>
          <w:rFonts w:ascii="仿宋" w:hAnsi="仿宋" w:eastAsia="仿宋" w:cs="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．定期（30年）：凡是反映学校一般工作活动，在长期内对学校和社会有查考利用价值的，列为定期（30年）/长期保管。</w:t>
      </w:r>
    </w:p>
    <w:p>
      <w:pPr>
        <w:widowControl w:val="0"/>
        <w:adjustRightInd w:val="0"/>
        <w:snapToGrid w:val="0"/>
        <w:ind w:left="0" w:firstLine="640"/>
        <w:jc w:val="both"/>
        <w:rPr>
          <w:rFonts w:ascii="仿宋" w:hAnsi="仿宋" w:eastAsia="仿宋"/>
          <w:kern w:val="0"/>
          <w:sz w:val="32"/>
          <w:szCs w:val="32"/>
        </w:rPr>
      </w:pPr>
      <w:r>
        <w:rPr>
          <w:rFonts w:hint="eastAsia" w:ascii="仿宋" w:hAnsi="仿宋" w:eastAsia="仿宋"/>
          <w:kern w:val="0"/>
          <w:sz w:val="32"/>
          <w:szCs w:val="32"/>
        </w:rPr>
        <w:t>3.</w:t>
      </w:r>
      <w:r>
        <w:rPr>
          <w:rFonts w:hint="eastAsia"/>
        </w:rPr>
        <w:t xml:space="preserve"> </w:t>
      </w:r>
      <w:r>
        <w:rPr>
          <w:rFonts w:hint="eastAsia" w:ascii="仿宋" w:hAnsi="仿宋" w:eastAsia="仿宋"/>
          <w:kern w:val="0"/>
          <w:sz w:val="32"/>
          <w:szCs w:val="32"/>
        </w:rPr>
        <w:t>凡是在较短时间内对学校有参考利用价值的文件材料，列为定期（</w:t>
      </w:r>
      <w:r>
        <w:rPr>
          <w:rFonts w:hint="eastAsia" w:ascii="仿宋" w:hAnsi="仿宋" w:eastAsia="仿宋"/>
          <w:kern w:val="0"/>
          <w:sz w:val="32"/>
          <w:szCs w:val="32"/>
          <w:lang w:val="en-US" w:eastAsia="zh-CN"/>
        </w:rPr>
        <w:t>15</w:t>
      </w:r>
      <w:r>
        <w:rPr>
          <w:rFonts w:hint="eastAsia" w:ascii="仿宋" w:hAnsi="仿宋" w:eastAsia="仿宋"/>
          <w:kern w:val="0"/>
          <w:sz w:val="32"/>
          <w:szCs w:val="32"/>
        </w:rPr>
        <w:t>年）/短期保管</w:t>
      </w:r>
    </w:p>
    <w:p>
      <w:pPr>
        <w:widowControl w:val="0"/>
        <w:adjustRightInd w:val="0"/>
        <w:snapToGrid w:val="0"/>
        <w:ind w:left="0" w:right="-2" w:firstLine="640"/>
        <w:jc w:val="both"/>
        <w:rPr>
          <w:rFonts w:ascii="黑体" w:hAnsi="黑体" w:eastAsia="黑体"/>
          <w:kern w:val="0"/>
          <w:sz w:val="32"/>
          <w:szCs w:val="32"/>
        </w:rPr>
      </w:pPr>
      <w:r>
        <w:rPr>
          <w:rFonts w:hint="eastAsia" w:ascii="黑体" w:hAnsi="黑体" w:eastAsia="黑体" w:cs="黑体"/>
          <w:kern w:val="0"/>
          <w:sz w:val="32"/>
          <w:szCs w:val="32"/>
        </w:rPr>
        <w:t>五、归档材料的分类方法和档号编制原则</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档案分类按照“年度</w:t>
      </w:r>
      <w:r>
        <w:rPr>
          <w:rFonts w:ascii="仿宋" w:hAnsi="仿宋" w:eastAsia="仿宋" w:cs="仿宋"/>
          <w:kern w:val="0"/>
          <w:sz w:val="32"/>
          <w:szCs w:val="32"/>
        </w:rPr>
        <w:t>—</w:t>
      </w:r>
      <w:r>
        <w:rPr>
          <w:rFonts w:hint="eastAsia" w:ascii="仿宋" w:hAnsi="仿宋" w:eastAsia="仿宋" w:cs="仿宋"/>
          <w:kern w:val="0"/>
          <w:sz w:val="32"/>
          <w:szCs w:val="32"/>
        </w:rPr>
        <w:t>问题</w:t>
      </w:r>
      <w:r>
        <w:rPr>
          <w:rFonts w:ascii="仿宋" w:hAnsi="仿宋" w:eastAsia="仿宋" w:cs="仿宋"/>
          <w:kern w:val="0"/>
          <w:sz w:val="32"/>
          <w:szCs w:val="32"/>
        </w:rPr>
        <w:t>—</w:t>
      </w:r>
      <w:r>
        <w:rPr>
          <w:rFonts w:hint="eastAsia" w:ascii="仿宋" w:hAnsi="仿宋" w:eastAsia="仿宋" w:cs="仿宋"/>
          <w:kern w:val="0"/>
          <w:sz w:val="32"/>
          <w:szCs w:val="32"/>
        </w:rPr>
        <w:t>保管期限”三级分类法进行分类。同一全宗应保持分类方案稳定。不同年度、问题、保管期限的文件原则上不能混合，应分别进行整理。</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档号编制应遵循唯一性、合理性、稳定性、扩充性、简单性原则，作用是确定归档文件在全宗中的位置，为查找利用时档案实体存取提供条件。</w:t>
      </w:r>
    </w:p>
    <w:p>
      <w:pPr>
        <w:widowControl w:val="0"/>
        <w:adjustRightInd w:val="0"/>
        <w:snapToGrid w:val="0"/>
        <w:ind w:left="0" w:right="200" w:firstLine="640"/>
        <w:jc w:val="both"/>
        <w:rPr>
          <w:rFonts w:ascii="楷体" w:hAnsi="楷体" w:eastAsia="楷体"/>
          <w:kern w:val="0"/>
          <w:sz w:val="32"/>
          <w:szCs w:val="32"/>
        </w:rPr>
      </w:pPr>
      <w:r>
        <w:rPr>
          <w:rFonts w:hint="eastAsia" w:ascii="黑体" w:hAnsi="黑体" w:eastAsia="黑体" w:cs="黑体"/>
          <w:kern w:val="0"/>
          <w:sz w:val="32"/>
          <w:szCs w:val="32"/>
        </w:rPr>
        <w:t>六、归档时间</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党群、行政类档案：次年六月底前归档。</w:t>
      </w:r>
    </w:p>
    <w:p>
      <w:pPr>
        <w:widowControl w:val="0"/>
        <w:adjustRightInd w:val="0"/>
        <w:snapToGrid w:val="0"/>
        <w:ind w:left="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教学类档案：次年六月底前归档。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基建类档案：次年六月底前归档。其中基建项目档案应在通过竣工验收后两个月内归档。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科研类档案：次年六月底前归档。其中科研项目档案应在通过鉴定验收后两个月内交由科研部门整理后统一归档。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仪器设备档案：次年六月底前归档。其中仪器设备项目档案应在开箱验收后两周内整理归档。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产品、外事、财会、出版物类档案：次年六月底前归档。其中会计凭证、帐簿在会计年度结束后，暂由会计部门保管一年，期满后次年六月底前归档。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声像档案：照片、录音带、录像带等载体形成后，次年六月底前归档。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实物档案：原则应于次年六月底前归档，但视情况也可随时整理归档。</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9.</w:t>
      </w:r>
      <w:r>
        <w:rPr>
          <w:rFonts w:hint="eastAsia" w:ascii="仿宋" w:hAnsi="仿宋" w:eastAsia="仿宋" w:cs="仿宋"/>
          <w:kern w:val="0"/>
          <w:sz w:val="32"/>
          <w:szCs w:val="32"/>
        </w:rPr>
        <w:t>其他：应归档的文件材料按有关规定整理归档，任何部门和个人不得擅自保存或销毁。</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rPr>
        <w:t>七、文件材料归档整理方法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随着信息技术的发展，传统以“卷”为单位的档案整理方法已经越来越难以适应现代档案工作的需要。国家档案局发布的《归档文件整理规则》（</w:t>
      </w:r>
      <w:r>
        <w:rPr>
          <w:rFonts w:ascii="仿宋" w:hAnsi="仿宋" w:eastAsia="仿宋" w:cs="仿宋"/>
          <w:kern w:val="0"/>
          <w:sz w:val="32"/>
          <w:szCs w:val="32"/>
        </w:rPr>
        <w:t>DA/T 22—2015）</w:t>
      </w:r>
      <w:r>
        <w:rPr>
          <w:rFonts w:hint="eastAsia" w:ascii="仿宋" w:hAnsi="仿宋" w:eastAsia="仿宋" w:cs="仿宋"/>
          <w:kern w:val="0"/>
          <w:sz w:val="32"/>
          <w:szCs w:val="32"/>
        </w:rPr>
        <w:t>规定，将传统的以“卷”作为文书档案的</w:t>
      </w:r>
      <w:r>
        <w:rPr>
          <w:rFonts w:hint="eastAsia" w:ascii="仿宋" w:hAnsi="仿宋" w:eastAsia="仿宋" w:cs="仿宋"/>
          <w:color w:val="FF0000"/>
          <w:kern w:val="0"/>
          <w:sz w:val="32"/>
          <w:szCs w:val="32"/>
        </w:rPr>
        <w:t>整理单位改为以“件”作为文书档案的整理单位。结合高等学校档案工作实际，广西师范大学档案采用“件”与“卷”相结合的方式。具</w:t>
      </w:r>
      <w:r>
        <w:rPr>
          <w:rFonts w:hint="eastAsia" w:ascii="仿宋" w:hAnsi="仿宋" w:eastAsia="仿宋" w:cs="仿宋"/>
          <w:kern w:val="0"/>
          <w:sz w:val="32"/>
          <w:szCs w:val="32"/>
        </w:rPr>
        <w:t>体方法如下：</w:t>
      </w:r>
    </w:p>
    <w:p>
      <w:pPr>
        <w:widowControl w:val="0"/>
        <w:adjustRightInd w:val="0"/>
        <w:snapToGrid w:val="0"/>
        <w:ind w:left="0" w:firstLine="640"/>
        <w:jc w:val="both"/>
        <w:rPr>
          <w:rFonts w:ascii="楷体" w:hAnsi="楷体" w:eastAsia="楷体"/>
          <w:kern w:val="0"/>
          <w:sz w:val="32"/>
          <w:szCs w:val="32"/>
        </w:rPr>
      </w:pPr>
      <w:r>
        <w:rPr>
          <w:rFonts w:hint="eastAsia" w:ascii="楷体" w:hAnsi="楷体" w:eastAsia="楷体" w:cs="楷体"/>
          <w:kern w:val="0"/>
          <w:sz w:val="32"/>
          <w:szCs w:val="32"/>
        </w:rPr>
        <w:t>（一）将归档材料以“件”为整理单位的归档方法</w:t>
      </w:r>
    </w:p>
    <w:p>
      <w:pPr>
        <w:widowControl w:val="0"/>
        <w:adjustRightInd w:val="0"/>
        <w:snapToGrid w:val="0"/>
        <w:ind w:left="0" w:right="200" w:firstLine="643"/>
        <w:jc w:val="both"/>
        <w:rPr>
          <w:rFonts w:ascii="仿宋" w:hAnsi="仿宋" w:eastAsia="仿宋"/>
          <w:b/>
          <w:kern w:val="0"/>
          <w:sz w:val="32"/>
          <w:szCs w:val="32"/>
        </w:rPr>
      </w:pPr>
      <w:r>
        <w:rPr>
          <w:rFonts w:ascii="仿宋" w:hAnsi="仿宋" w:eastAsia="仿宋" w:cs="仿宋"/>
          <w:b/>
          <w:kern w:val="0"/>
          <w:sz w:val="32"/>
          <w:szCs w:val="32"/>
        </w:rPr>
        <w:t>1.</w:t>
      </w:r>
      <w:r>
        <w:rPr>
          <w:rFonts w:hint="eastAsia" w:ascii="仿宋" w:hAnsi="仿宋" w:eastAsia="仿宋" w:cs="仿宋"/>
          <w:b/>
          <w:kern w:val="0"/>
          <w:sz w:val="32"/>
          <w:szCs w:val="32"/>
        </w:rPr>
        <w:t>以“件”为整理单位归档的材料</w:t>
      </w:r>
    </w:p>
    <w:p>
      <w:pPr>
        <w:widowControl w:val="0"/>
        <w:adjustRightInd w:val="0"/>
        <w:snapToGrid w:val="0"/>
        <w:ind w:left="0" w:right="-2" w:firstLine="640"/>
        <w:jc w:val="both"/>
        <w:rPr>
          <w:rFonts w:ascii="仿宋" w:hAnsi="仿宋" w:eastAsia="仿宋"/>
          <w:color w:val="FF0000"/>
          <w:kern w:val="0"/>
          <w:sz w:val="32"/>
          <w:szCs w:val="32"/>
        </w:rPr>
      </w:pPr>
      <w:r>
        <w:rPr>
          <w:rFonts w:hint="eastAsia" w:ascii="仿宋" w:hAnsi="仿宋" w:eastAsia="仿宋" w:cs="仿宋"/>
          <w:kern w:val="0"/>
          <w:sz w:val="32"/>
          <w:szCs w:val="32"/>
        </w:rPr>
        <w:t>学校党委、行政制发的文件以及党委、行政办公会议纪要、记录和上级部门下发的文件，会计报表、账簿、凭证、工资清册，声像与实物档案，教学综合类等，均以“件”为整理单位归档。其中：学校党委制发的师党（办、纪监等）、党委常委会会议纪要、党委常委会会议记录称为党群文件</w:t>
      </w:r>
      <w:r>
        <w:rPr>
          <w:rFonts w:hint="eastAsia" w:ascii="仿宋" w:hAnsi="仿宋" w:eastAsia="仿宋" w:cs="仿宋"/>
          <w:color w:val="FF0000"/>
          <w:kern w:val="0"/>
          <w:sz w:val="32"/>
          <w:szCs w:val="32"/>
        </w:rPr>
        <w:t>（</w:t>
      </w:r>
      <w:r>
        <w:rPr>
          <w:rFonts w:ascii="仿宋" w:hAnsi="仿宋" w:eastAsia="仿宋" w:cs="仿宋"/>
          <w:color w:val="FF0000"/>
          <w:kern w:val="0"/>
          <w:sz w:val="32"/>
          <w:szCs w:val="32"/>
        </w:rPr>
        <w:t>DQ</w:t>
      </w:r>
      <w:r>
        <w:rPr>
          <w:rFonts w:hint="eastAsia" w:ascii="仿宋" w:hAnsi="仿宋" w:eastAsia="仿宋" w:cs="仿宋"/>
          <w:color w:val="FF0000"/>
          <w:kern w:val="0"/>
          <w:sz w:val="32"/>
          <w:szCs w:val="32"/>
        </w:rPr>
        <w:t>）</w:t>
      </w:r>
      <w:r>
        <w:rPr>
          <w:rFonts w:hint="eastAsia" w:ascii="仿宋" w:hAnsi="仿宋" w:eastAsia="仿宋" w:cs="仿宋"/>
          <w:kern w:val="0"/>
          <w:sz w:val="32"/>
          <w:szCs w:val="32"/>
        </w:rPr>
        <w:t>；学校行政制发的师政（办、人事、函等）、校长办公会议纪要、校长办公会记录称为行政文件</w:t>
      </w:r>
      <w:r>
        <w:rPr>
          <w:rFonts w:hint="eastAsia" w:ascii="仿宋" w:hAnsi="仿宋" w:eastAsia="仿宋" w:cs="仿宋"/>
          <w:color w:val="FF0000"/>
          <w:kern w:val="0"/>
          <w:sz w:val="32"/>
          <w:szCs w:val="32"/>
        </w:rPr>
        <w:t>（</w:t>
      </w:r>
      <w:r>
        <w:rPr>
          <w:rFonts w:ascii="仿宋" w:hAnsi="仿宋" w:eastAsia="仿宋" w:cs="仿宋"/>
          <w:color w:val="FF0000"/>
          <w:kern w:val="0"/>
          <w:sz w:val="32"/>
          <w:szCs w:val="32"/>
        </w:rPr>
        <w:t>XZ</w:t>
      </w:r>
      <w:r>
        <w:rPr>
          <w:rFonts w:hint="eastAsia" w:ascii="仿宋" w:hAnsi="仿宋" w:eastAsia="仿宋" w:cs="仿宋"/>
          <w:color w:val="FF0000"/>
          <w:kern w:val="0"/>
          <w:sz w:val="32"/>
          <w:szCs w:val="32"/>
        </w:rPr>
        <w:t>）</w:t>
      </w:r>
      <w:bookmarkStart w:id="0" w:name="_GoBack"/>
      <w:bookmarkEnd w:id="0"/>
      <w:r>
        <w:rPr>
          <w:rFonts w:hint="eastAsia" w:ascii="仿宋" w:hAnsi="仿宋" w:eastAsia="仿宋" w:cs="仿宋"/>
          <w:kern w:val="0"/>
          <w:sz w:val="32"/>
          <w:szCs w:val="32"/>
        </w:rPr>
        <w:t>；财会类文件称为财会（</w:t>
      </w:r>
      <w:r>
        <w:rPr>
          <w:rFonts w:ascii="仿宋" w:hAnsi="仿宋" w:eastAsia="仿宋" w:cs="仿宋"/>
          <w:kern w:val="0"/>
          <w:sz w:val="32"/>
          <w:szCs w:val="32"/>
        </w:rPr>
        <w:t>CK</w:t>
      </w:r>
      <w:r>
        <w:rPr>
          <w:rFonts w:hint="eastAsia" w:ascii="仿宋" w:hAnsi="仿宋" w:eastAsia="仿宋" w:cs="仿宋"/>
          <w:kern w:val="0"/>
          <w:sz w:val="32"/>
          <w:szCs w:val="32"/>
        </w:rPr>
        <w:t>）；声像类文件称为声像（</w:t>
      </w:r>
      <w:r>
        <w:rPr>
          <w:rFonts w:ascii="仿宋" w:hAnsi="仿宋" w:eastAsia="仿宋" w:cs="仿宋"/>
          <w:kern w:val="0"/>
          <w:sz w:val="32"/>
          <w:szCs w:val="32"/>
        </w:rPr>
        <w:t>SX</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实物类档案称为实物（</w:t>
      </w:r>
      <w:r>
        <w:rPr>
          <w:rFonts w:ascii="仿宋" w:hAnsi="仿宋" w:eastAsia="仿宋" w:cs="仿宋"/>
          <w:kern w:val="0"/>
          <w:sz w:val="32"/>
          <w:szCs w:val="32"/>
        </w:rPr>
        <w:t>SW</w:t>
      </w:r>
      <w:r>
        <w:rPr>
          <w:rFonts w:hint="eastAsia" w:ascii="仿宋" w:hAnsi="仿宋" w:eastAsia="仿宋" w:cs="仿宋"/>
          <w:kern w:val="0"/>
          <w:sz w:val="32"/>
          <w:szCs w:val="32"/>
        </w:rPr>
        <w:t>）。</w:t>
      </w:r>
      <w:r>
        <w:rPr>
          <w:rFonts w:hint="eastAsia" w:ascii="仿宋" w:hAnsi="仿宋" w:eastAsia="仿宋" w:cs="仿宋"/>
          <w:color w:val="FF0000"/>
          <w:kern w:val="0"/>
          <w:sz w:val="32"/>
          <w:szCs w:val="32"/>
        </w:rPr>
        <w:t>具体划分见广西师范大学档案类目的划分与标识及档号编制方法(试行)。</w:t>
      </w:r>
    </w:p>
    <w:p>
      <w:pPr>
        <w:widowControl w:val="0"/>
        <w:adjustRightInd w:val="0"/>
        <w:snapToGrid w:val="0"/>
        <w:ind w:left="0" w:firstLine="681" w:firstLineChars="212"/>
        <w:jc w:val="both"/>
        <w:rPr>
          <w:rFonts w:ascii="仿宋" w:hAnsi="仿宋" w:eastAsia="仿宋"/>
          <w:b/>
          <w:kern w:val="0"/>
          <w:sz w:val="32"/>
          <w:szCs w:val="32"/>
        </w:rPr>
      </w:pPr>
      <w:r>
        <w:rPr>
          <w:rFonts w:ascii="仿宋" w:hAnsi="仿宋" w:eastAsia="仿宋" w:cs="仿宋"/>
          <w:b/>
          <w:kern w:val="0"/>
          <w:sz w:val="32"/>
          <w:szCs w:val="32"/>
        </w:rPr>
        <w:t>2.</w:t>
      </w:r>
      <w:r>
        <w:rPr>
          <w:rFonts w:hint="eastAsia" w:ascii="仿宋" w:hAnsi="仿宋" w:eastAsia="仿宋" w:cs="仿宋"/>
          <w:b/>
          <w:kern w:val="0"/>
          <w:sz w:val="32"/>
          <w:szCs w:val="32"/>
        </w:rPr>
        <w:t>以“件”为单位整理档案的一般要求</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归档文件一般以每份文件为一件。正文、附件为一件，文件正本与定稿为一件，原件与复制件为一件，正本与翻译本为一件，中文本与外文本为一件；会议纪要、会议记录一般一次会议为一件，会议记录一年一本的，一本为一件；有文件处理单或发文稿纸的，文件处理单或发文稿纸与相关文件为一件；会计报表、账簿、凭证、工资清册等，视具体情况装订成一册为一件；</w:t>
      </w:r>
      <w:r>
        <w:rPr>
          <w:rFonts w:hint="eastAsia" w:ascii="仿宋" w:hAnsi="仿宋" w:eastAsia="仿宋" w:cs="仿宋"/>
          <w:color w:val="000000"/>
          <w:kern w:val="0"/>
          <w:sz w:val="32"/>
          <w:szCs w:val="32"/>
        </w:rPr>
        <w:t>声像档案中每张照片为一件，每个活动的录像资料为一件，每个活动的讲话录音为一件；</w:t>
      </w:r>
      <w:r>
        <w:rPr>
          <w:rFonts w:hint="eastAsia" w:ascii="仿宋" w:hAnsi="仿宋" w:eastAsia="仿宋" w:cs="仿宋"/>
          <w:kern w:val="0"/>
          <w:sz w:val="32"/>
          <w:szCs w:val="32"/>
        </w:rPr>
        <w:t>实物档案中每件实物为一件。</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来文与复文（请示与批复、报告与批示、函与复函等）要独立成件，但来文与复文要互相注明参见号，以方便查找。对电话批复、口头批复未形成文字，或未批复、但实际上已办理、既成事实的，此类请示文件在归档之前，应由承办人员在请示文件上注明办理的具体情况，并加盖公章后归档。</w:t>
      </w:r>
    </w:p>
    <w:p>
      <w:pPr>
        <w:widowControl w:val="0"/>
        <w:adjustRightInd w:val="0"/>
        <w:snapToGrid w:val="0"/>
        <w:ind w:left="0" w:firstLine="643"/>
        <w:jc w:val="both"/>
        <w:rPr>
          <w:rFonts w:ascii="仿宋" w:hAnsi="仿宋" w:eastAsia="仿宋"/>
          <w:b/>
          <w:kern w:val="0"/>
          <w:sz w:val="32"/>
          <w:szCs w:val="32"/>
        </w:rPr>
      </w:pPr>
      <w:r>
        <w:rPr>
          <w:rFonts w:ascii="仿宋" w:hAnsi="仿宋" w:eastAsia="仿宋" w:cs="仿宋"/>
          <w:b/>
          <w:kern w:val="0"/>
          <w:sz w:val="32"/>
          <w:szCs w:val="32"/>
        </w:rPr>
        <w:t>3.</w:t>
      </w:r>
      <w:r>
        <w:rPr>
          <w:rFonts w:hint="eastAsia" w:ascii="仿宋" w:hAnsi="仿宋" w:eastAsia="仿宋" w:cs="仿宋"/>
          <w:b/>
          <w:kern w:val="0"/>
          <w:sz w:val="32"/>
          <w:szCs w:val="32"/>
        </w:rPr>
        <w:t>以“件”为整理单位归档的排列方法</w:t>
      </w:r>
    </w:p>
    <w:p>
      <w:pPr>
        <w:widowControl w:val="0"/>
        <w:adjustRightInd w:val="0"/>
        <w:snapToGrid w:val="0"/>
        <w:ind w:left="0" w:right="-2" w:firstLine="640"/>
        <w:jc w:val="both"/>
        <w:rPr>
          <w:rFonts w:ascii="仿宋" w:hAnsi="仿宋" w:eastAsia="仿宋"/>
          <w:color w:val="000000"/>
          <w:kern w:val="0"/>
          <w:sz w:val="32"/>
          <w:szCs w:val="32"/>
        </w:rPr>
      </w:pPr>
      <w:r>
        <w:rPr>
          <w:rFonts w:hint="eastAsia" w:ascii="仿宋" w:hAnsi="仿宋" w:eastAsia="仿宋" w:cs="仿宋"/>
          <w:kern w:val="0"/>
          <w:sz w:val="32"/>
          <w:szCs w:val="32"/>
        </w:rPr>
        <w:t>按事由具有的共同属性分别集中排列，即按责任者或承办部门分别集中排列。党群文件按照师党（办、纪监等）、党委常委会会议纪要、党委常委会会议记录的大顺序和文号进行排列；行政文件按照师政办（办、人事、函等）文件、校长办公会会议纪要、校长办公会会议记录的大顺序和文号进行排列；上级机关文件按照发文机关、发文时间进行排列；会计类按照</w:t>
      </w:r>
      <w:r>
        <w:rPr>
          <w:rFonts w:ascii="仿宋" w:hAnsi="仿宋" w:eastAsia="仿宋" w:cs="仿宋"/>
          <w:kern w:val="0"/>
          <w:sz w:val="32"/>
          <w:szCs w:val="32"/>
        </w:rPr>
        <w:t>CK12</w:t>
      </w:r>
      <w:r>
        <w:rPr>
          <w:rFonts w:hint="eastAsia" w:ascii="仿宋" w:hAnsi="仿宋" w:eastAsia="仿宋" w:cs="仿宋"/>
          <w:kern w:val="0"/>
          <w:sz w:val="32"/>
          <w:szCs w:val="32"/>
        </w:rPr>
        <w:t>（</w:t>
      </w:r>
      <w:r>
        <w:rPr>
          <w:rFonts w:ascii="仿宋" w:hAnsi="仿宋" w:eastAsia="仿宋" w:cs="仿宋"/>
          <w:kern w:val="0"/>
          <w:sz w:val="32"/>
          <w:szCs w:val="32"/>
        </w:rPr>
        <w:t>13/14/15</w:t>
      </w:r>
      <w:r>
        <w:rPr>
          <w:rFonts w:hint="eastAsia" w:ascii="仿宋" w:hAnsi="仿宋" w:eastAsia="仿宋" w:cs="仿宋"/>
          <w:kern w:val="0"/>
          <w:sz w:val="32"/>
          <w:szCs w:val="32"/>
        </w:rPr>
        <w:t>）和保管期限进行排列；</w:t>
      </w:r>
      <w:r>
        <w:rPr>
          <w:rFonts w:hint="eastAsia" w:ascii="仿宋" w:hAnsi="仿宋" w:eastAsia="仿宋" w:cs="仿宋"/>
          <w:color w:val="000000"/>
          <w:kern w:val="0"/>
          <w:sz w:val="32"/>
          <w:szCs w:val="32"/>
        </w:rPr>
        <w:t>声像和实物类按照三级类目顺序和保管期限排列。</w:t>
      </w:r>
    </w:p>
    <w:p>
      <w:pPr>
        <w:widowControl w:val="0"/>
        <w:adjustRightInd w:val="0"/>
        <w:snapToGrid w:val="0"/>
        <w:ind w:left="0" w:right="200" w:firstLine="643"/>
        <w:jc w:val="both"/>
        <w:rPr>
          <w:rFonts w:ascii="仿宋" w:hAnsi="仿宋" w:eastAsia="仿宋"/>
          <w:b/>
          <w:kern w:val="0"/>
          <w:sz w:val="32"/>
          <w:szCs w:val="32"/>
        </w:rPr>
      </w:pPr>
      <w:r>
        <w:rPr>
          <w:rFonts w:ascii="仿宋" w:hAnsi="仿宋" w:eastAsia="仿宋" w:cs="仿宋"/>
          <w:b/>
          <w:kern w:val="0"/>
          <w:sz w:val="32"/>
          <w:szCs w:val="32"/>
        </w:rPr>
        <w:t>4.</w:t>
      </w:r>
      <w:r>
        <w:rPr>
          <w:rFonts w:hint="eastAsia" w:ascii="仿宋" w:hAnsi="仿宋" w:eastAsia="仿宋" w:cs="仿宋"/>
          <w:b/>
          <w:kern w:val="0"/>
          <w:sz w:val="32"/>
          <w:szCs w:val="32"/>
        </w:rPr>
        <w:t>以“件”为整理单位归档的档号编制方法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档号的结构为：全宗号</w:t>
      </w:r>
      <w:r>
        <w:rPr>
          <w:rFonts w:ascii="仿宋" w:hAnsi="仿宋" w:eastAsia="仿宋" w:cs="仿宋"/>
          <w:kern w:val="0"/>
          <w:sz w:val="32"/>
          <w:szCs w:val="32"/>
        </w:rPr>
        <w:t>+</w:t>
      </w:r>
      <w:r>
        <w:rPr>
          <w:rFonts w:hint="eastAsia" w:ascii="仿宋" w:hAnsi="仿宋" w:eastAsia="仿宋" w:cs="仿宋"/>
          <w:kern w:val="0"/>
          <w:sz w:val="32"/>
          <w:szCs w:val="32"/>
        </w:rPr>
        <w:t>年度号</w:t>
      </w:r>
      <w:r>
        <w:rPr>
          <w:rFonts w:ascii="仿宋" w:hAnsi="仿宋" w:eastAsia="仿宋" w:cs="仿宋"/>
          <w:kern w:val="0"/>
          <w:sz w:val="32"/>
          <w:szCs w:val="32"/>
        </w:rPr>
        <w:t>+</w:t>
      </w:r>
      <w:r>
        <w:rPr>
          <w:rFonts w:hint="eastAsia" w:ascii="仿宋" w:hAnsi="仿宋" w:eastAsia="仿宋" w:cs="仿宋"/>
          <w:kern w:val="0"/>
          <w:sz w:val="32"/>
          <w:szCs w:val="32"/>
        </w:rPr>
        <w:t>分类号</w:t>
      </w:r>
      <w:r>
        <w:rPr>
          <w:rFonts w:ascii="仿宋" w:hAnsi="仿宋" w:eastAsia="仿宋" w:cs="仿宋"/>
          <w:kern w:val="0"/>
          <w:sz w:val="32"/>
          <w:szCs w:val="32"/>
        </w:rPr>
        <w:t>+</w:t>
      </w:r>
      <w:r>
        <w:rPr>
          <w:rFonts w:hint="eastAsia" w:ascii="仿宋" w:hAnsi="仿宋" w:eastAsia="仿宋" w:cs="仿宋"/>
          <w:kern w:val="0"/>
          <w:sz w:val="32"/>
          <w:szCs w:val="32"/>
        </w:rPr>
        <w:t>保管期限</w:t>
      </w:r>
      <w:r>
        <w:rPr>
          <w:rFonts w:ascii="仿宋" w:hAnsi="仿宋" w:eastAsia="仿宋" w:cs="仿宋"/>
          <w:kern w:val="0"/>
          <w:sz w:val="32"/>
          <w:szCs w:val="32"/>
        </w:rPr>
        <w:t>+</w:t>
      </w:r>
      <w:r>
        <w:rPr>
          <w:rFonts w:hint="eastAsia" w:ascii="仿宋" w:hAnsi="仿宋" w:eastAsia="仿宋" w:cs="仿宋"/>
          <w:kern w:val="0"/>
          <w:sz w:val="32"/>
          <w:szCs w:val="32"/>
        </w:rPr>
        <w:t>件号。</w:t>
      </w:r>
    </w:p>
    <w:p>
      <w:pPr>
        <w:widowControl w:val="0"/>
        <w:adjustRightInd w:val="0"/>
        <w:snapToGrid w:val="0"/>
        <w:ind w:left="0" w:firstLine="640"/>
        <w:jc w:val="both"/>
        <w:rPr>
          <w:rFonts w:ascii="仿宋" w:hAnsi="仿宋" w:eastAsia="仿宋"/>
          <w:kern w:val="0"/>
          <w:sz w:val="32"/>
          <w:szCs w:val="32"/>
        </w:rPr>
      </w:pPr>
      <w:r>
        <w:rPr>
          <w:rFonts w:hint="eastAsia" w:ascii="仿宋" w:hAnsi="仿宋" w:eastAsia="仿宋" w:cs="仿宋"/>
          <w:kern w:val="0"/>
          <w:sz w:val="32"/>
          <w:szCs w:val="32"/>
        </w:rPr>
        <w:t>各类档案的档号结构详见《广西师范大学档案类目划分与标识及档号编制方法》。</w:t>
      </w:r>
    </w:p>
    <w:p>
      <w:pPr>
        <w:widowControl w:val="0"/>
        <w:adjustRightInd w:val="0"/>
        <w:snapToGrid w:val="0"/>
        <w:ind w:left="0" w:right="200" w:firstLine="643"/>
        <w:jc w:val="both"/>
        <w:rPr>
          <w:rFonts w:ascii="仿宋" w:hAnsi="仿宋" w:eastAsia="仿宋"/>
          <w:b/>
          <w:kern w:val="0"/>
          <w:sz w:val="32"/>
          <w:szCs w:val="32"/>
        </w:rPr>
      </w:pPr>
      <w:r>
        <w:rPr>
          <w:rFonts w:ascii="仿宋" w:hAnsi="仿宋" w:eastAsia="仿宋" w:cs="仿宋"/>
          <w:b/>
          <w:kern w:val="0"/>
          <w:sz w:val="32"/>
          <w:szCs w:val="32"/>
        </w:rPr>
        <w:t>5.</w:t>
      </w:r>
      <w:r>
        <w:rPr>
          <w:rFonts w:hint="eastAsia" w:ascii="仿宋" w:hAnsi="仿宋" w:eastAsia="仿宋" w:cs="仿宋"/>
          <w:b/>
          <w:kern w:val="0"/>
          <w:sz w:val="32"/>
          <w:szCs w:val="32"/>
        </w:rPr>
        <w:t>对归档文件进行编目</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）归档文件应根据档号顺序编制归档文件目录。归档文件目录设置序号、档号、文号、责任者、题名、日期、密级、期限、页数、备注等项目。</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）归档文件目录表格采用</w:t>
      </w:r>
      <w:r>
        <w:rPr>
          <w:rFonts w:ascii="仿宋" w:hAnsi="仿宋" w:eastAsia="仿宋" w:cs="仿宋"/>
          <w:kern w:val="0"/>
          <w:sz w:val="32"/>
          <w:szCs w:val="32"/>
        </w:rPr>
        <w:t>A4</w:t>
      </w:r>
      <w:r>
        <w:rPr>
          <w:rFonts w:hint="eastAsia" w:ascii="仿宋" w:hAnsi="仿宋" w:eastAsia="仿宋" w:cs="仿宋"/>
          <w:kern w:val="0"/>
          <w:sz w:val="32"/>
          <w:szCs w:val="32"/>
        </w:rPr>
        <w:t>幅面，横向设置。</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）归档文件目录除保存电子版本外，按照保管期限、机构或问题打印装订成册，目录封面设全宗名称、年度、保管期限、机构或问题等项目。</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纸质归档文件的修整、装订、编页、盖章和装盒</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）修整。对破损文件进行修复，对字迹模糊文件进行复制，去除文件上易锈蚀金属物，对过大纸张进行折叠。</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）装订。归档文件一般以件为单位装订，装订材料使用不锈钢订书钉或棉线。</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）编页。归档文件一般以件为单位编页。页码逐页编制，分别标注在文件正面右下角，或左下角的空白位置。文件材料已印制成册并编有页码的，拟编制页码与文件原有页码相同的，可以保持原有页码不变。</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4</w:t>
      </w:r>
      <w:r>
        <w:rPr>
          <w:rFonts w:hint="eastAsia" w:ascii="仿宋" w:hAnsi="仿宋" w:eastAsia="仿宋" w:cs="仿宋"/>
          <w:kern w:val="0"/>
          <w:sz w:val="32"/>
          <w:szCs w:val="32"/>
        </w:rPr>
        <w:t>）盖章。归档章项目有全宗号、年度、件号、机构或问题、保管期限、页数。归档章加盖在公文首页右上角空白处，不要压住文件字迹。</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5</w:t>
      </w:r>
      <w:r>
        <w:rPr>
          <w:rFonts w:hint="eastAsia" w:ascii="仿宋" w:hAnsi="仿宋" w:eastAsia="仿宋" w:cs="仿宋"/>
          <w:kern w:val="0"/>
          <w:sz w:val="32"/>
          <w:szCs w:val="32"/>
        </w:rPr>
        <w:t>）装盒。将归档文件按顺序装入档案盒，并填写档案盒背脊及备考表。档案盒设计应符合《归档文件整理规则》，由档案馆统一定制。档案盒背脊位置应设置归档文件档号，档号按盒内文件排列顺序依次标注。不同保管期限的归档文件不能装入同一个档案盒。备考表包括盒内文件情况说明、整理人、检查人和日期，放置于盒内文件之后。装盒由档案馆统一负责。</w:t>
      </w:r>
    </w:p>
    <w:p>
      <w:pPr>
        <w:widowControl w:val="0"/>
        <w:adjustRightInd w:val="0"/>
        <w:snapToGrid w:val="0"/>
        <w:ind w:left="0" w:right="-2" w:firstLine="640"/>
        <w:jc w:val="both"/>
        <w:rPr>
          <w:rFonts w:ascii="楷体" w:hAnsi="楷体" w:eastAsia="楷体"/>
          <w:kern w:val="0"/>
          <w:sz w:val="32"/>
          <w:szCs w:val="32"/>
        </w:rPr>
      </w:pPr>
      <w:r>
        <w:rPr>
          <w:rFonts w:hint="eastAsia" w:ascii="楷体" w:hAnsi="楷体" w:eastAsia="楷体" w:cs="楷体"/>
          <w:kern w:val="0"/>
          <w:sz w:val="32"/>
          <w:szCs w:val="32"/>
        </w:rPr>
        <w:t>（二）将归档文件以“卷”为整理单位的归档方法</w:t>
      </w:r>
    </w:p>
    <w:p>
      <w:pPr>
        <w:widowControl w:val="0"/>
        <w:adjustRightInd w:val="0"/>
        <w:snapToGrid w:val="0"/>
        <w:ind w:left="0" w:right="0"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以“卷”为整理单位归档的材料</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除了前述所列以“件”为单位整理的档案外，学校其他各类材料均以“卷”的形式整理，包括党群、行政、教学、科研、基本建设、仪器设备、产品生产、出版、外事、财会文书等各类的材料。</w:t>
      </w:r>
    </w:p>
    <w:p>
      <w:pPr>
        <w:widowControl w:val="0"/>
        <w:adjustRightInd w:val="0"/>
        <w:snapToGrid w:val="0"/>
        <w:ind w:left="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以“卷”为整理单位归档的组卷方法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以问题特征为主，原则上采用一个问题形成的材料一卷或多卷的方法组合案卷。即应视文件材料的多少进行。当同一问题的文件较多时，可酌情适当分卷，组成数卷；问题单一、文件数量少者可组薄卷，严禁跨类组卷。卷内问题力求简单，尽量不组综合卷。</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同一年度、同一问题、同一保管期限的文件材料归入同一个卷内。对于计划、规划、总结、统计报表等内容涉及不同年度的材料，按材料的落款日期，判定所属年度；跨两个年度的会议形成的文件材料，统一放在开幕年；跨两个年度处理的案件形成的文件材料，统一放在结案年；毕业生学籍档案放在毕业年度；项目的材料不论过程长短，均放在审结、购置、竣工年度。</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）不同保管期限的文件材料应分别组卷，案卷顺序要按永久、长期先后排列。</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4</w:t>
      </w:r>
      <w:r>
        <w:rPr>
          <w:rFonts w:hint="eastAsia" w:ascii="仿宋" w:hAnsi="仿宋" w:eastAsia="仿宋" w:cs="仿宋"/>
          <w:kern w:val="0"/>
          <w:sz w:val="32"/>
          <w:szCs w:val="32"/>
        </w:rPr>
        <w:t>）专题性、成套性档案可按专题、项目分阶段、结构、部件等分别组卷。</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5</w:t>
      </w:r>
      <w:r>
        <w:rPr>
          <w:rFonts w:hint="eastAsia" w:ascii="仿宋" w:hAnsi="仿宋" w:eastAsia="仿宋" w:cs="仿宋"/>
          <w:kern w:val="0"/>
          <w:sz w:val="32"/>
          <w:szCs w:val="32"/>
        </w:rPr>
        <w:t>）案卷厚薄适宜，用纸幅面以</w:t>
      </w:r>
      <w:r>
        <w:rPr>
          <w:rFonts w:ascii="仿宋" w:hAnsi="仿宋" w:eastAsia="仿宋" w:cs="仿宋"/>
          <w:kern w:val="0"/>
          <w:sz w:val="32"/>
          <w:szCs w:val="32"/>
        </w:rPr>
        <w:t>A4</w:t>
      </w:r>
      <w:r>
        <w:rPr>
          <w:rFonts w:hint="eastAsia" w:ascii="仿宋" w:hAnsi="仿宋" w:eastAsia="仿宋" w:cs="仿宋"/>
          <w:kern w:val="0"/>
          <w:sz w:val="32"/>
          <w:szCs w:val="32"/>
        </w:rPr>
        <w:t>型为标准。不同尺寸的材料折叠为统一</w:t>
      </w:r>
      <w:r>
        <w:rPr>
          <w:rFonts w:ascii="仿宋" w:hAnsi="仿宋" w:eastAsia="仿宋" w:cs="仿宋"/>
          <w:kern w:val="0"/>
          <w:sz w:val="32"/>
          <w:szCs w:val="32"/>
        </w:rPr>
        <w:t>A4</w:t>
      </w:r>
      <w:r>
        <w:rPr>
          <w:rFonts w:hint="eastAsia" w:ascii="仿宋" w:hAnsi="仿宋" w:eastAsia="仿宋" w:cs="仿宋"/>
          <w:kern w:val="0"/>
          <w:sz w:val="32"/>
          <w:szCs w:val="32"/>
        </w:rPr>
        <w:t>幅面。卷内文件一般不应超过200个自然页，即200张</w:t>
      </w:r>
      <w:r>
        <w:rPr>
          <w:rFonts w:ascii="仿宋" w:hAnsi="仿宋" w:eastAsia="仿宋" w:cs="仿宋"/>
          <w:kern w:val="0"/>
          <w:sz w:val="32"/>
          <w:szCs w:val="32"/>
        </w:rPr>
        <w:t>A4</w:t>
      </w:r>
      <w:r>
        <w:rPr>
          <w:rFonts w:hint="eastAsia" w:ascii="仿宋" w:hAnsi="仿宋" w:eastAsia="仿宋" w:cs="仿宋"/>
          <w:kern w:val="0"/>
          <w:sz w:val="32"/>
          <w:szCs w:val="32"/>
        </w:rPr>
        <w:t>型纸。</w:t>
      </w:r>
    </w:p>
    <w:p>
      <w:pPr>
        <w:widowControl w:val="0"/>
        <w:adjustRightInd w:val="0"/>
        <w:snapToGrid w:val="0"/>
        <w:ind w:left="0" w:firstLine="640"/>
        <w:jc w:val="both"/>
        <w:rPr>
          <w:rFonts w:ascii="仿宋" w:hAnsi="仿宋" w:eastAsia="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以“卷”为整理单位归档的档号编制方法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档号的结构为：全宗号</w:t>
      </w:r>
      <w:r>
        <w:rPr>
          <w:rFonts w:ascii="仿宋" w:hAnsi="仿宋" w:eastAsia="仿宋" w:cs="仿宋"/>
          <w:kern w:val="0"/>
          <w:sz w:val="32"/>
          <w:szCs w:val="32"/>
        </w:rPr>
        <w:t>+</w:t>
      </w:r>
      <w:r>
        <w:rPr>
          <w:rFonts w:hint="eastAsia" w:ascii="仿宋" w:hAnsi="仿宋" w:eastAsia="仿宋" w:cs="仿宋"/>
          <w:kern w:val="0"/>
          <w:sz w:val="32"/>
          <w:szCs w:val="32"/>
        </w:rPr>
        <w:t>年度号</w:t>
      </w:r>
      <w:r>
        <w:rPr>
          <w:rFonts w:ascii="仿宋" w:hAnsi="仿宋" w:eastAsia="仿宋" w:cs="仿宋"/>
          <w:kern w:val="0"/>
          <w:sz w:val="32"/>
          <w:szCs w:val="32"/>
        </w:rPr>
        <w:t>+</w:t>
      </w:r>
      <w:r>
        <w:rPr>
          <w:rFonts w:hint="eastAsia" w:ascii="仿宋" w:hAnsi="仿宋" w:eastAsia="仿宋" w:cs="仿宋"/>
          <w:kern w:val="0"/>
          <w:sz w:val="32"/>
          <w:szCs w:val="32"/>
        </w:rPr>
        <w:t>分类号</w:t>
      </w:r>
      <w:r>
        <w:rPr>
          <w:rFonts w:ascii="仿宋" w:hAnsi="仿宋" w:eastAsia="仿宋" w:cs="仿宋"/>
          <w:kern w:val="0"/>
          <w:sz w:val="32"/>
          <w:szCs w:val="32"/>
        </w:rPr>
        <w:t>+</w:t>
      </w:r>
      <w:r>
        <w:rPr>
          <w:rFonts w:hint="eastAsia" w:ascii="仿宋" w:hAnsi="仿宋" w:eastAsia="仿宋" w:cs="仿宋"/>
          <w:kern w:val="0"/>
          <w:sz w:val="32"/>
          <w:szCs w:val="32"/>
        </w:rPr>
        <w:t>保管期限</w:t>
      </w:r>
      <w:r>
        <w:rPr>
          <w:rFonts w:ascii="仿宋" w:hAnsi="仿宋" w:eastAsia="仿宋" w:cs="仿宋"/>
          <w:kern w:val="0"/>
          <w:sz w:val="32"/>
          <w:szCs w:val="32"/>
        </w:rPr>
        <w:t>+</w:t>
      </w:r>
      <w:r>
        <w:rPr>
          <w:rFonts w:hint="eastAsia" w:ascii="仿宋" w:hAnsi="仿宋" w:eastAsia="仿宋" w:cs="仿宋"/>
          <w:kern w:val="0"/>
          <w:sz w:val="32"/>
          <w:szCs w:val="32"/>
        </w:rPr>
        <w:t>卷号</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各类档案的档号结构详见《广西师范大学档案类目划分与标识及档号编制方法》。</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“卷”内文件排列方法</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卷内文件排列一般应文字材料在前，图样在后。图样按目录或图号排列，配套的特殊载体文字材料按有关规定整理。</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）会议文件、统计报表等成套性文件可集中排列。</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）文件排列要层次清楚，有一定的规律性和连续性。</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卷内文件页号的编写方法</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页号是指卷内所有文件页数的顺序编号。卷内文件按顺序排列后，均应依次在有图文的页面、非装订线一侧下角，使用铅笔以阿拉伯数字编写页号。卷内目录和空白页面、备考表不编页号。编写页号时，不能出现重号、漏号现象。</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卷内文件目录编制方法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每个案卷必须按规定格式逐件填写卷内目录，包括：</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序号：卷内文件排列的顺序号。从“</w:t>
      </w:r>
      <w:r>
        <w:rPr>
          <w:rFonts w:ascii="仿宋" w:hAnsi="仿宋" w:eastAsia="仿宋" w:cs="仿宋"/>
          <w:kern w:val="0"/>
          <w:sz w:val="32"/>
          <w:szCs w:val="32"/>
        </w:rPr>
        <w:t>1</w:t>
      </w:r>
      <w:r>
        <w:rPr>
          <w:rFonts w:hint="eastAsia" w:ascii="仿宋" w:hAnsi="仿宋" w:eastAsia="仿宋" w:cs="仿宋"/>
          <w:kern w:val="0"/>
          <w:sz w:val="32"/>
          <w:szCs w:val="32"/>
        </w:rPr>
        <w:t>”开始按文件排列顺序流水编排，每件文件一个号。</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文号：文件的发文字号。发文字号包括发文机关代字、年度（以六角括号“〔〕”括入）、顺序号，要填写齐全，不得简化。如师党〔</w:t>
      </w:r>
      <w:r>
        <w:rPr>
          <w:rFonts w:ascii="仿宋" w:hAnsi="仿宋" w:eastAsia="仿宋" w:cs="仿宋"/>
          <w:kern w:val="0"/>
          <w:sz w:val="32"/>
          <w:szCs w:val="32"/>
        </w:rPr>
        <w:t>201</w:t>
      </w:r>
      <w:r>
        <w:rPr>
          <w:rFonts w:hint="eastAsia" w:ascii="仿宋" w:hAnsi="仿宋" w:eastAsia="仿宋" w:cs="仿宋"/>
          <w:kern w:val="0"/>
          <w:sz w:val="32"/>
          <w:szCs w:val="32"/>
        </w:rPr>
        <w:t>9〕01号。没有文号的，不用标识。</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责任者：文件的发文机关或署名者。填写文号对应的责任者。责任者两个及以上的，应填写一个主要的；没有责任者的，要考证清楚，及时补齐。</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标题：文件标题，一般应照文件抄录，不得随意更改和简化。无标题或标题不规范的，应自拟标题，外加“</w:t>
      </w:r>
      <w:r>
        <w:rPr>
          <w:rFonts w:ascii="仿宋" w:hAnsi="仿宋" w:eastAsia="仿宋" w:cs="仿宋"/>
          <w:kern w:val="0"/>
          <w:sz w:val="32"/>
          <w:szCs w:val="32"/>
        </w:rPr>
        <w:t>[]</w:t>
      </w:r>
      <w:r>
        <w:rPr>
          <w:rFonts w:hint="eastAsia" w:ascii="仿宋" w:hAnsi="仿宋" w:eastAsia="仿宋" w:cs="仿宋"/>
          <w:kern w:val="0"/>
          <w:sz w:val="32"/>
          <w:szCs w:val="32"/>
        </w:rPr>
        <w:t>”。发言稿、文稿应注明责任人并冠其相应的职务。</w:t>
      </w:r>
    </w:p>
    <w:p>
      <w:pPr>
        <w:widowControl w:val="0"/>
        <w:adjustRightInd w:val="0"/>
        <w:snapToGrid w:val="0"/>
        <w:ind w:left="0" w:right="-2" w:firstLine="640"/>
        <w:jc w:val="both"/>
        <w:rPr>
          <w:rFonts w:ascii="仿宋" w:hAnsi="仿宋" w:eastAsia="仿宋"/>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日期：文件的形成时间。以国际标准日期表示法标注年月日，如</w:t>
      </w:r>
      <w:r>
        <w:rPr>
          <w:rFonts w:ascii="仿宋" w:hAnsi="仿宋" w:eastAsia="仿宋" w:cs="仿宋"/>
          <w:kern w:val="0"/>
          <w:sz w:val="32"/>
          <w:szCs w:val="32"/>
        </w:rPr>
        <w:t>201</w:t>
      </w:r>
      <w:r>
        <w:rPr>
          <w:rFonts w:hint="eastAsia" w:ascii="仿宋" w:hAnsi="仿宋" w:eastAsia="仿宋" w:cs="仿宋"/>
          <w:kern w:val="0"/>
          <w:sz w:val="32"/>
          <w:szCs w:val="32"/>
        </w:rPr>
        <w:t>9</w:t>
      </w:r>
      <w:r>
        <w:rPr>
          <w:rFonts w:ascii="仿宋" w:hAnsi="仿宋" w:eastAsia="仿宋" w:cs="仿宋"/>
          <w:kern w:val="0"/>
          <w:sz w:val="32"/>
          <w:szCs w:val="32"/>
        </w:rPr>
        <w:t>0331</w:t>
      </w:r>
      <w:r>
        <w:rPr>
          <w:rFonts w:hint="eastAsia" w:ascii="仿宋" w:hAnsi="仿宋" w:eastAsia="仿宋" w:cs="仿宋"/>
          <w:kern w:val="0"/>
          <w:sz w:val="32"/>
          <w:szCs w:val="32"/>
        </w:rPr>
        <w:t>。如果卷内目录设置“起止日期”，则起止日期按上下两行排列，前后不使用“</w:t>
      </w:r>
      <w:r>
        <w:rPr>
          <w:rFonts w:ascii="仿宋" w:hAnsi="仿宋" w:eastAsia="仿宋" w:cs="仿宋"/>
          <w:kern w:val="0"/>
          <w:sz w:val="32"/>
          <w:szCs w:val="32"/>
        </w:rPr>
        <w:t>-</w:t>
      </w:r>
      <w:r>
        <w:rPr>
          <w:rFonts w:hint="eastAsia" w:ascii="仿宋" w:hAnsi="仿宋" w:eastAsia="仿宋" w:cs="仿宋"/>
          <w:kern w:val="0"/>
          <w:sz w:val="32"/>
          <w:szCs w:val="32"/>
        </w:rPr>
        <w:t>”符号连接。没有日期的文件，要考证清楚，及时补齐。</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页号：文件在卷内位置所在的页号。应填写每件文件第一页上的页号，卷内最后一件文件要填写起止页号，用“</w:t>
      </w:r>
      <w:r>
        <w:rPr>
          <w:rFonts w:ascii="仿宋" w:hAnsi="仿宋" w:eastAsia="仿宋" w:cs="仿宋"/>
          <w:kern w:val="0"/>
          <w:sz w:val="32"/>
          <w:szCs w:val="32"/>
        </w:rPr>
        <w:t>-</w:t>
      </w:r>
      <w:r>
        <w:rPr>
          <w:rFonts w:hint="eastAsia" w:ascii="仿宋" w:hAnsi="仿宋" w:eastAsia="仿宋" w:cs="仿宋"/>
          <w:kern w:val="0"/>
          <w:sz w:val="32"/>
          <w:szCs w:val="32"/>
        </w:rPr>
        <w:t>”符号连接。</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卷内目录用纸幅面尺寸采用国际标准</w:t>
      </w:r>
      <w:r>
        <w:rPr>
          <w:rFonts w:ascii="仿宋" w:hAnsi="仿宋" w:eastAsia="仿宋" w:cs="仿宋"/>
          <w:kern w:val="0"/>
          <w:sz w:val="32"/>
          <w:szCs w:val="32"/>
        </w:rPr>
        <w:t>A4</w:t>
      </w:r>
      <w:r>
        <w:rPr>
          <w:rFonts w:hint="eastAsia" w:ascii="仿宋" w:hAnsi="仿宋" w:eastAsia="仿宋" w:cs="仿宋"/>
          <w:kern w:val="0"/>
          <w:sz w:val="32"/>
          <w:szCs w:val="32"/>
        </w:rPr>
        <w:t>型。卷内目录的格式，由档案馆统一设置。</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卷内目录项目要填写齐全、准确，打印整洁。卷内目录在装订时应放在卷内第一件文件（即页号“</w:t>
      </w:r>
      <w:r>
        <w:rPr>
          <w:rFonts w:ascii="仿宋" w:hAnsi="仿宋" w:eastAsia="仿宋" w:cs="仿宋"/>
          <w:kern w:val="0"/>
          <w:sz w:val="32"/>
          <w:szCs w:val="32"/>
        </w:rPr>
        <w:t>1</w:t>
      </w:r>
      <w:r>
        <w:rPr>
          <w:rFonts w:hint="eastAsia" w:ascii="仿宋" w:hAnsi="仿宋" w:eastAsia="仿宋" w:cs="仿宋"/>
          <w:kern w:val="0"/>
          <w:sz w:val="32"/>
          <w:szCs w:val="32"/>
        </w:rPr>
        <w:t>”）前面。</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案卷封面填写方法</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案卷封面包括案卷题名、卷内文件起止日期、件数、页数、保管期限、案卷档号。</w:t>
      </w:r>
    </w:p>
    <w:p>
      <w:pPr>
        <w:widowControl w:val="0"/>
        <w:adjustRightInd w:val="0"/>
        <w:snapToGrid w:val="0"/>
        <w:ind w:left="0" w:right="-2"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）拟写案卷题名</w:t>
      </w:r>
      <w:r>
        <w:rPr>
          <w:rFonts w:ascii="仿宋" w:hAnsi="仿宋" w:eastAsia="仿宋" w:cs="仿宋"/>
          <w:kern w:val="0"/>
          <w:sz w:val="32"/>
          <w:szCs w:val="32"/>
        </w:rPr>
        <w:t>:</w:t>
      </w:r>
      <w:r>
        <w:rPr>
          <w:rFonts w:hint="eastAsia" w:ascii="仿宋" w:hAnsi="仿宋" w:eastAsia="仿宋" w:cs="仿宋"/>
          <w:kern w:val="0"/>
          <w:sz w:val="32"/>
          <w:szCs w:val="32"/>
        </w:rPr>
        <w:t>案卷题名应简明确切、结构完整，体式统一。一般采用段落式标法，由主要责任者、问题、名称（文种）三要素构成，文尾不加句号。部分案卷题名可以是项目的名称代号及其阶段、部件、组件的代号或名称。一般不超过</w:t>
      </w:r>
      <w:r>
        <w:rPr>
          <w:rFonts w:ascii="仿宋" w:hAnsi="仿宋" w:eastAsia="仿宋" w:cs="仿宋"/>
          <w:kern w:val="0"/>
          <w:sz w:val="32"/>
          <w:szCs w:val="32"/>
        </w:rPr>
        <w:t>50</w:t>
      </w:r>
      <w:r>
        <w:rPr>
          <w:rFonts w:hint="eastAsia" w:ascii="仿宋" w:hAnsi="仿宋" w:eastAsia="仿宋" w:cs="仿宋"/>
          <w:kern w:val="0"/>
          <w:sz w:val="32"/>
          <w:szCs w:val="32"/>
        </w:rPr>
        <w:t>个字。体现年度的数字采用阿拉伯数字书写。责任者应当填写全称或规范化简称，如“党委组织部”“教务处”“资产管理处”等。</w:t>
      </w:r>
    </w:p>
    <w:p>
      <w:pPr>
        <w:widowControl w:val="0"/>
        <w:adjustRightInd w:val="0"/>
        <w:snapToGrid w:val="0"/>
        <w:ind w:left="0" w:right="-2" w:firstLine="640"/>
        <w:jc w:val="both"/>
        <w:rPr>
          <w:rFonts w:ascii="仿宋" w:hAnsi="仿宋" w:eastAsia="仿宋"/>
          <w:color w:val="000000"/>
          <w:kern w:val="0"/>
          <w:sz w:val="32"/>
          <w:szCs w:val="32"/>
        </w:rPr>
      </w:pP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）填写封面项目</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在学校名称与案卷题名之间，应按一级类目填写或打印档案类别，即“党群类”“行政类”“教学类”等字样。</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起止日期”项，以阿拉伯数字标注；“件数”项，以阿拉伯数字标注卷内文件的总件数；“页数”项，以阿拉伯数字标注卷内文件的总页号；“保管期限”项，根据案卷的保管期限标注永久、长期；“案卷档号”项，一卷一号逐卷标注。</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案卷号的排列应在分类方案的最低一级类目下按永久、定期（30年）/长期、定期（10年）/短期的先后顺序排列。封面项目应填写齐全、准确，体式统一，打印整洁。</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）案卷封皮制作</w:t>
      </w:r>
      <w:r>
        <w:rPr>
          <w:rFonts w:ascii="仿宋" w:hAnsi="仿宋" w:eastAsia="仿宋" w:cs="仿宋"/>
          <w:kern w:val="0"/>
          <w:sz w:val="32"/>
          <w:szCs w:val="32"/>
        </w:rPr>
        <w:t>:</w:t>
      </w:r>
      <w:r>
        <w:rPr>
          <w:rFonts w:hint="eastAsia" w:ascii="仿宋" w:hAnsi="仿宋" w:eastAsia="仿宋" w:cs="仿宋"/>
          <w:kern w:val="0"/>
          <w:sz w:val="32"/>
          <w:szCs w:val="32"/>
        </w:rPr>
        <w:t>采用</w:t>
      </w:r>
      <w:r>
        <w:rPr>
          <w:rFonts w:ascii="仿宋" w:hAnsi="仿宋" w:eastAsia="仿宋" w:cs="仿宋"/>
          <w:kern w:val="0"/>
          <w:sz w:val="32"/>
          <w:szCs w:val="32"/>
        </w:rPr>
        <w:t>150</w:t>
      </w:r>
      <w:r>
        <w:rPr>
          <w:rFonts w:hint="eastAsia" w:ascii="仿宋" w:hAnsi="仿宋" w:eastAsia="仿宋" w:cs="仿宋"/>
          <w:kern w:val="0"/>
          <w:sz w:val="32"/>
          <w:szCs w:val="32"/>
        </w:rPr>
        <w:t>克无酸牛皮纸，外形尺寸为</w:t>
      </w:r>
      <w:r>
        <w:rPr>
          <w:rFonts w:ascii="仿宋" w:hAnsi="仿宋" w:eastAsia="仿宋" w:cs="仿宋"/>
          <w:kern w:val="0"/>
          <w:sz w:val="32"/>
          <w:szCs w:val="32"/>
        </w:rPr>
        <w:t>300</w:t>
      </w:r>
      <w:r>
        <w:rPr>
          <w:rFonts w:hint="eastAsia" w:ascii="仿宋" w:hAnsi="仿宋" w:eastAsia="仿宋" w:cs="仿宋"/>
          <w:kern w:val="0"/>
          <w:sz w:val="32"/>
          <w:szCs w:val="32"/>
        </w:rPr>
        <w:t>㎜×</w:t>
      </w:r>
      <w:r>
        <w:rPr>
          <w:rFonts w:ascii="仿宋" w:hAnsi="仿宋" w:eastAsia="仿宋" w:cs="仿宋"/>
          <w:kern w:val="0"/>
          <w:sz w:val="32"/>
          <w:szCs w:val="32"/>
        </w:rPr>
        <w:t>215</w:t>
      </w:r>
      <w:r>
        <w:rPr>
          <w:rFonts w:hint="eastAsia" w:ascii="仿宋" w:hAnsi="仿宋" w:eastAsia="仿宋" w:cs="仿宋"/>
          <w:kern w:val="0"/>
          <w:sz w:val="32"/>
          <w:szCs w:val="32"/>
        </w:rPr>
        <w:t>㎜，封皮采用平面设计，右边带活舌。案卷封皮由档案馆统一定制。</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备考表填写方法</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卷内文件缺损、修改、补充、移出、销毁等情况，应如实填写在备考表内，并且由立卷人、审核人签署姓名、日期。立卷人是组成本卷的责任者，通常为部门档案管理员；审核人是对案卷质量进行审核的责任者，通常为部门分管档案的领导。备考表用纸幅面采用</w:t>
      </w:r>
      <w:r>
        <w:rPr>
          <w:rFonts w:ascii="仿宋" w:hAnsi="仿宋" w:eastAsia="仿宋" w:cs="仿宋"/>
          <w:kern w:val="0"/>
          <w:sz w:val="32"/>
          <w:szCs w:val="32"/>
        </w:rPr>
        <w:t>A4</w:t>
      </w:r>
      <w:r>
        <w:rPr>
          <w:rFonts w:hint="eastAsia" w:ascii="仿宋" w:hAnsi="仿宋" w:eastAsia="仿宋" w:cs="仿宋"/>
          <w:kern w:val="0"/>
          <w:sz w:val="32"/>
          <w:szCs w:val="32"/>
        </w:rPr>
        <w:t>型。</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9.</w:t>
      </w:r>
      <w:r>
        <w:rPr>
          <w:rFonts w:hint="eastAsia" w:ascii="仿宋" w:hAnsi="仿宋" w:eastAsia="仿宋" w:cs="仿宋"/>
          <w:kern w:val="0"/>
          <w:sz w:val="32"/>
          <w:szCs w:val="32"/>
        </w:rPr>
        <w:t>案卷装订</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案卷装订由档案馆统一负责。</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1</w:t>
      </w:r>
      <w:r>
        <w:rPr>
          <w:rFonts w:hint="eastAsia" w:ascii="仿宋" w:hAnsi="仿宋" w:eastAsia="仿宋" w:cs="仿宋"/>
          <w:kern w:val="0"/>
          <w:sz w:val="32"/>
          <w:szCs w:val="32"/>
        </w:rPr>
        <w:t>）拆除文件上的金属物</w:t>
      </w:r>
      <w:r>
        <w:rPr>
          <w:rFonts w:ascii="仿宋" w:hAnsi="仿宋" w:eastAsia="仿宋" w:cs="仿宋"/>
          <w:kern w:val="0"/>
          <w:sz w:val="32"/>
          <w:szCs w:val="32"/>
        </w:rPr>
        <w:t>:</w:t>
      </w:r>
      <w:r>
        <w:rPr>
          <w:rFonts w:hint="eastAsia" w:ascii="仿宋" w:hAnsi="仿宋" w:eastAsia="仿宋" w:cs="仿宋"/>
          <w:kern w:val="0"/>
          <w:sz w:val="32"/>
          <w:szCs w:val="32"/>
        </w:rPr>
        <w:t>装订前要拆除卷内文件上的金属物及其他多余原装订材料。</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2</w:t>
      </w:r>
      <w:r>
        <w:rPr>
          <w:rFonts w:hint="eastAsia" w:ascii="仿宋" w:hAnsi="仿宋" w:eastAsia="仿宋" w:cs="仿宋"/>
          <w:kern w:val="0"/>
          <w:sz w:val="32"/>
          <w:szCs w:val="32"/>
        </w:rPr>
        <w:t>）修补、托裱破损文件</w:t>
      </w:r>
      <w:r>
        <w:rPr>
          <w:rFonts w:ascii="仿宋" w:hAnsi="仿宋" w:eastAsia="仿宋" w:cs="仿宋"/>
          <w:kern w:val="0"/>
          <w:sz w:val="32"/>
          <w:szCs w:val="32"/>
        </w:rPr>
        <w:t>:</w:t>
      </w:r>
      <w:r>
        <w:rPr>
          <w:rFonts w:hint="eastAsia" w:ascii="仿宋" w:hAnsi="仿宋" w:eastAsia="仿宋" w:cs="仿宋"/>
          <w:kern w:val="0"/>
          <w:sz w:val="32"/>
          <w:szCs w:val="32"/>
        </w:rPr>
        <w:t>对污染、破损的文件要进行必要的去污、修补或托裱。字迹稍模糊或易褪变的文件材料应予复制并与原件放在一起</w:t>
      </w:r>
      <w:r>
        <w:rPr>
          <w:rFonts w:ascii="仿宋" w:hAnsi="仿宋" w:eastAsia="仿宋" w:cs="仿宋"/>
          <w:kern w:val="0"/>
          <w:sz w:val="32"/>
          <w:szCs w:val="32"/>
        </w:rPr>
        <w:t>(</w:t>
      </w:r>
      <w:r>
        <w:rPr>
          <w:rFonts w:hint="eastAsia" w:ascii="仿宋" w:hAnsi="仿宋" w:eastAsia="仿宋" w:cs="仿宋"/>
          <w:kern w:val="0"/>
          <w:sz w:val="32"/>
          <w:szCs w:val="32"/>
        </w:rPr>
        <w:t>包括用传真纸和压敏感应纸的文件</w:t>
      </w:r>
      <w:r>
        <w:rPr>
          <w:rFonts w:ascii="仿宋" w:hAnsi="仿宋" w:eastAsia="仿宋" w:cs="仿宋"/>
          <w:kern w:val="0"/>
          <w:sz w:val="32"/>
          <w:szCs w:val="32"/>
        </w:rPr>
        <w:t>)</w:t>
      </w:r>
      <w:r>
        <w:rPr>
          <w:rFonts w:hint="eastAsia" w:ascii="仿宋" w:hAnsi="仿宋" w:eastAsia="仿宋" w:cs="仿宋"/>
          <w:kern w:val="0"/>
          <w:sz w:val="32"/>
          <w:szCs w:val="32"/>
        </w:rPr>
        <w:t>。</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3</w:t>
      </w:r>
      <w:r>
        <w:rPr>
          <w:rFonts w:hint="eastAsia" w:ascii="仿宋" w:hAnsi="仿宋" w:eastAsia="仿宋" w:cs="仿宋"/>
          <w:kern w:val="0"/>
          <w:sz w:val="32"/>
          <w:szCs w:val="32"/>
        </w:rPr>
        <w:t>）整理不规范的纸张</w:t>
      </w:r>
      <w:r>
        <w:rPr>
          <w:rFonts w:ascii="仿宋" w:hAnsi="仿宋" w:eastAsia="仿宋" w:cs="仿宋"/>
          <w:kern w:val="0"/>
          <w:sz w:val="32"/>
          <w:szCs w:val="32"/>
        </w:rPr>
        <w:t>:</w:t>
      </w:r>
      <w:r>
        <w:rPr>
          <w:rFonts w:hint="eastAsia" w:ascii="仿宋" w:hAnsi="仿宋" w:eastAsia="仿宋" w:cs="仿宋"/>
          <w:kern w:val="0"/>
          <w:sz w:val="32"/>
          <w:szCs w:val="32"/>
        </w:rPr>
        <w:t>卷内文件的左边与底边应与封面的左边与底边取齐，文件不能露出封面；文件的页面尺寸不应大于</w:t>
      </w:r>
      <w:r>
        <w:rPr>
          <w:rFonts w:ascii="仿宋" w:hAnsi="仿宋" w:eastAsia="仿宋" w:cs="仿宋"/>
          <w:kern w:val="0"/>
          <w:sz w:val="32"/>
          <w:szCs w:val="32"/>
        </w:rPr>
        <w:t>A4</w:t>
      </w:r>
      <w:r>
        <w:rPr>
          <w:rFonts w:hint="eastAsia" w:ascii="仿宋" w:hAnsi="仿宋" w:eastAsia="仿宋" w:cs="仿宋"/>
          <w:kern w:val="0"/>
          <w:sz w:val="32"/>
          <w:szCs w:val="32"/>
        </w:rPr>
        <w:t>型纸的尺寸，页面尺寸较大的文件应按</w:t>
      </w:r>
      <w:r>
        <w:rPr>
          <w:rFonts w:ascii="仿宋" w:hAnsi="仿宋" w:eastAsia="仿宋" w:cs="仿宋"/>
          <w:kern w:val="0"/>
          <w:sz w:val="32"/>
          <w:szCs w:val="32"/>
        </w:rPr>
        <w:t>A4</w:t>
      </w:r>
      <w:r>
        <w:rPr>
          <w:rFonts w:hint="eastAsia" w:ascii="仿宋" w:hAnsi="仿宋" w:eastAsia="仿宋" w:cs="仿宋"/>
          <w:kern w:val="0"/>
          <w:sz w:val="32"/>
          <w:szCs w:val="32"/>
        </w:rPr>
        <w:t>型纸的尺寸进行折叠或剪切；文件左边预留的装订宽度不能少于</w:t>
      </w:r>
      <w:r>
        <w:rPr>
          <w:rFonts w:ascii="仿宋" w:hAnsi="仿宋" w:eastAsia="仿宋" w:cs="仿宋"/>
          <w:kern w:val="0"/>
          <w:sz w:val="32"/>
          <w:szCs w:val="32"/>
        </w:rPr>
        <w:t>15</w:t>
      </w:r>
      <w:r>
        <w:rPr>
          <w:rFonts w:hint="eastAsia" w:ascii="仿宋" w:hAnsi="仿宋" w:eastAsia="仿宋" w:cs="仿宋"/>
          <w:kern w:val="0"/>
          <w:sz w:val="32"/>
          <w:szCs w:val="32"/>
        </w:rPr>
        <w:t>㎜，若左边装订宽度过窄，必须加大装订宽度后再予装订。</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w:t>
      </w:r>
      <w:r>
        <w:rPr>
          <w:rFonts w:ascii="仿宋" w:hAnsi="仿宋" w:eastAsia="仿宋" w:cs="仿宋"/>
          <w:kern w:val="0"/>
          <w:sz w:val="32"/>
          <w:szCs w:val="32"/>
        </w:rPr>
        <w:t>4</w:t>
      </w:r>
      <w:r>
        <w:rPr>
          <w:rFonts w:hint="eastAsia" w:ascii="仿宋" w:hAnsi="仿宋" w:eastAsia="仿宋" w:cs="仿宋"/>
          <w:kern w:val="0"/>
          <w:sz w:val="32"/>
          <w:szCs w:val="32"/>
        </w:rPr>
        <w:t>）采用“三点一线”法装订</w:t>
      </w:r>
      <w:r>
        <w:rPr>
          <w:rFonts w:ascii="仿宋" w:hAnsi="仿宋" w:eastAsia="仿宋" w:cs="仿宋"/>
          <w:kern w:val="0"/>
          <w:sz w:val="32"/>
          <w:szCs w:val="32"/>
        </w:rPr>
        <w:t>:</w:t>
      </w:r>
      <w:r>
        <w:rPr>
          <w:rFonts w:hint="eastAsia" w:ascii="仿宋" w:hAnsi="仿宋" w:eastAsia="仿宋" w:cs="仿宋"/>
          <w:kern w:val="0"/>
          <w:sz w:val="32"/>
          <w:szCs w:val="32"/>
        </w:rPr>
        <w:t>装订的位置应在案卷左边，三装订孔距离左卷边约</w:t>
      </w:r>
      <w:r>
        <w:rPr>
          <w:rFonts w:ascii="仿宋" w:hAnsi="仿宋" w:eastAsia="仿宋" w:cs="仿宋"/>
          <w:kern w:val="0"/>
          <w:sz w:val="32"/>
          <w:szCs w:val="32"/>
        </w:rPr>
        <w:t>10</w:t>
      </w:r>
      <w:r>
        <w:rPr>
          <w:rFonts w:hint="eastAsia" w:ascii="仿宋" w:hAnsi="仿宋" w:eastAsia="仿宋" w:cs="仿宋"/>
          <w:kern w:val="0"/>
          <w:sz w:val="32"/>
          <w:szCs w:val="32"/>
        </w:rPr>
        <w:t>㎜，上下装订孔距封面</w:t>
      </w:r>
      <w:r>
        <w:rPr>
          <w:rFonts w:ascii="仿宋" w:hAnsi="仿宋" w:eastAsia="仿宋" w:cs="仿宋"/>
          <w:kern w:val="0"/>
          <w:sz w:val="32"/>
          <w:szCs w:val="32"/>
        </w:rPr>
        <w:t>(</w:t>
      </w:r>
      <w:r>
        <w:rPr>
          <w:rFonts w:hint="eastAsia" w:ascii="仿宋" w:hAnsi="仿宋" w:eastAsia="仿宋" w:cs="仿宋"/>
          <w:kern w:val="0"/>
          <w:sz w:val="32"/>
          <w:szCs w:val="32"/>
        </w:rPr>
        <w:t>卷皮</w:t>
      </w:r>
      <w:r>
        <w:rPr>
          <w:rFonts w:ascii="仿宋" w:hAnsi="仿宋" w:eastAsia="仿宋" w:cs="仿宋"/>
          <w:kern w:val="0"/>
          <w:sz w:val="32"/>
          <w:szCs w:val="32"/>
        </w:rPr>
        <w:t>)</w:t>
      </w:r>
      <w:r>
        <w:rPr>
          <w:rFonts w:hint="eastAsia" w:ascii="仿宋" w:hAnsi="仿宋" w:eastAsia="仿宋" w:cs="仿宋"/>
          <w:kern w:val="0"/>
          <w:sz w:val="32"/>
          <w:szCs w:val="32"/>
        </w:rPr>
        <w:t>上下两边各约</w:t>
      </w:r>
      <w:r>
        <w:rPr>
          <w:rFonts w:ascii="仿宋" w:hAnsi="仿宋" w:eastAsia="仿宋" w:cs="仿宋"/>
          <w:kern w:val="0"/>
          <w:sz w:val="32"/>
          <w:szCs w:val="32"/>
        </w:rPr>
        <w:t>30</w:t>
      </w:r>
      <w:r>
        <w:rPr>
          <w:rFonts w:hint="eastAsia" w:ascii="仿宋" w:hAnsi="仿宋" w:eastAsia="仿宋" w:cs="仿宋"/>
          <w:kern w:val="0"/>
          <w:sz w:val="32"/>
          <w:szCs w:val="32"/>
        </w:rPr>
        <w:t>㎜。最后用纯棉线绳扎牢。装订后的案卷应牢固、整齐、美观，不漏页。</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10.</w:t>
      </w:r>
      <w:r>
        <w:rPr>
          <w:rFonts w:hint="eastAsia" w:ascii="仿宋" w:hAnsi="仿宋" w:eastAsia="仿宋" w:cs="仿宋"/>
          <w:kern w:val="0"/>
          <w:sz w:val="32"/>
          <w:szCs w:val="32"/>
        </w:rPr>
        <w:t>案卷装盒</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案卷装盒由档案馆统一负责。原则上同一年度、同一问题、同一保管期限的案卷放在同一档案盒内；案卷档号应按盒内案卷排列顺序依次标注。</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11.</w:t>
      </w:r>
      <w:r>
        <w:rPr>
          <w:rFonts w:hint="eastAsia" w:ascii="仿宋" w:hAnsi="仿宋" w:eastAsia="仿宋" w:cs="仿宋"/>
          <w:kern w:val="0"/>
          <w:sz w:val="32"/>
          <w:szCs w:val="32"/>
        </w:rPr>
        <w:t>编制案卷目录</w:t>
      </w:r>
    </w:p>
    <w:p>
      <w:pPr>
        <w:widowControl w:val="0"/>
        <w:adjustRightInd w:val="0"/>
        <w:snapToGrid w:val="0"/>
        <w:ind w:left="0" w:right="200" w:firstLine="640"/>
        <w:jc w:val="both"/>
        <w:rPr>
          <w:rFonts w:ascii="仿宋" w:hAnsi="仿宋" w:eastAsia="仿宋"/>
          <w:kern w:val="0"/>
          <w:sz w:val="32"/>
          <w:szCs w:val="32"/>
        </w:rPr>
      </w:pPr>
      <w:r>
        <w:rPr>
          <w:rFonts w:hint="eastAsia" w:ascii="仿宋" w:hAnsi="仿宋" w:eastAsia="仿宋" w:cs="仿宋"/>
          <w:kern w:val="0"/>
          <w:sz w:val="32"/>
          <w:szCs w:val="32"/>
        </w:rPr>
        <w:t>按照分类方案和案卷的排列顺序，逐卷抄录。项目抄录应齐全、完整、规范。案卷目录应打印装订。</w:t>
      </w:r>
    </w:p>
    <w:p>
      <w:pPr>
        <w:widowControl w:val="0"/>
        <w:adjustRightInd w:val="0"/>
        <w:snapToGrid w:val="0"/>
        <w:ind w:left="0" w:right="200" w:firstLine="640"/>
        <w:jc w:val="both"/>
        <w:rPr>
          <w:rFonts w:ascii="仿宋" w:hAnsi="仿宋" w:eastAsia="仿宋"/>
          <w:kern w:val="0"/>
          <w:sz w:val="32"/>
          <w:szCs w:val="32"/>
        </w:rPr>
      </w:pPr>
      <w:r>
        <w:rPr>
          <w:rFonts w:ascii="仿宋" w:hAnsi="仿宋" w:eastAsia="仿宋" w:cs="仿宋"/>
          <w:kern w:val="0"/>
          <w:sz w:val="32"/>
          <w:szCs w:val="32"/>
        </w:rPr>
        <w:t>12.</w:t>
      </w:r>
      <w:r>
        <w:rPr>
          <w:rFonts w:hint="eastAsia" w:ascii="仿宋" w:hAnsi="仿宋" w:eastAsia="仿宋" w:cs="仿宋"/>
          <w:kern w:val="0"/>
          <w:sz w:val="32"/>
          <w:szCs w:val="32"/>
        </w:rPr>
        <w:t>组合全引目录</w:t>
      </w:r>
    </w:p>
    <w:p>
      <w:pPr>
        <w:widowControl w:val="0"/>
        <w:adjustRightInd w:val="0"/>
        <w:snapToGrid w:val="0"/>
        <w:ind w:left="0" w:right="0" w:firstLine="640"/>
        <w:jc w:val="both"/>
        <w:rPr>
          <w:rFonts w:hint="eastAsia" w:ascii="仿宋" w:hAnsi="仿宋" w:eastAsia="仿宋" w:cs="仿宋"/>
          <w:kern w:val="0"/>
          <w:sz w:val="32"/>
          <w:szCs w:val="32"/>
        </w:rPr>
      </w:pPr>
      <w:r>
        <w:rPr>
          <w:rFonts w:hint="eastAsia" w:ascii="仿宋" w:hAnsi="仿宋" w:eastAsia="仿宋" w:cs="仿宋"/>
          <w:kern w:val="0"/>
          <w:sz w:val="32"/>
          <w:szCs w:val="32"/>
        </w:rPr>
        <w:t>案卷目录在前，卷内目录在后，按门类组合成册，每册厚度适中。组合的全引目录应接上一年度的全引目录排列顺序，有一定的规律性，不能随意改动。</w:t>
      </w:r>
    </w:p>
    <w:p>
      <w:pPr>
        <w:widowControl w:val="0"/>
        <w:adjustRightInd w:val="0"/>
        <w:snapToGrid w:val="0"/>
        <w:ind w:left="0" w:right="0" w:firstLine="643"/>
        <w:jc w:val="both"/>
        <w:rPr>
          <w:rFonts w:hint="eastAsia" w:ascii="仿宋" w:hAnsi="仿宋" w:eastAsia="仿宋" w:cs="仿宋"/>
          <w:b/>
          <w:kern w:val="0"/>
          <w:sz w:val="32"/>
          <w:szCs w:val="32"/>
        </w:rPr>
      </w:pPr>
      <w:r>
        <w:rPr>
          <w:rFonts w:hint="eastAsia" w:ascii="仿宋" w:hAnsi="仿宋" w:eastAsia="仿宋" w:cs="仿宋"/>
          <w:b/>
          <w:kern w:val="0"/>
          <w:sz w:val="32"/>
          <w:szCs w:val="32"/>
        </w:rPr>
        <w:t>（三）声像材料、实物材料（原件）归档方法</w:t>
      </w:r>
    </w:p>
    <w:p>
      <w:pPr>
        <w:widowControl w:val="0"/>
        <w:adjustRightInd w:val="0"/>
        <w:snapToGrid w:val="0"/>
        <w:ind w:left="0" w:right="0" w:firstLine="640"/>
        <w:jc w:val="both"/>
        <w:rPr>
          <w:rFonts w:ascii="仿宋" w:hAnsi="仿宋" w:eastAsia="仿宋"/>
          <w:kern w:val="0"/>
          <w:sz w:val="32"/>
          <w:szCs w:val="32"/>
        </w:rPr>
      </w:pPr>
      <w:r>
        <w:rPr>
          <w:rFonts w:hint="eastAsia" w:ascii="仿宋" w:hAnsi="仿宋" w:eastAsia="仿宋" w:cs="仿宋"/>
          <w:kern w:val="0"/>
          <w:sz w:val="32"/>
          <w:szCs w:val="32"/>
        </w:rPr>
        <w:t>声像材料、实物材料（原件）归档需附纸质版和电子版的文字说明。声像材料说明包括：时间、事件名称、人物、地点、摄影者；获赠的实物（礼品、纪念品）须注明题名、获赠时间、捐赠人；奖品（奖杯、奖状、证书、锦旗等）须注明题名、获得时间、颁奖单位等。数码照片、数码视频和数码录音等电子文件，则应给每张照片或每个视频（音频）作说明，并用“说明”作该电子文件的文件名。照片较多时，应先进行鉴定、遴选、分类，每项活动的照片存放在一个文件夹内，文件夹名称为“日期+事件名称”。如：2017年12月20日，田家炳教育基金会董事局主席、田家炳先生长子田庆先率团到访我校，校党委书记邓军，校党委常委、副校长孙杰远会见田庆先一行并座谈。</w:t>
      </w:r>
    </w:p>
    <w:p>
      <w:pPr>
        <w:widowControl w:val="0"/>
        <w:adjustRightInd w:val="0"/>
        <w:snapToGrid w:val="0"/>
        <w:ind w:left="0" w:right="200" w:firstLine="640"/>
        <w:jc w:val="both"/>
        <w:rPr>
          <w:rFonts w:ascii="黑体" w:hAnsi="黑体" w:eastAsia="黑体"/>
          <w:kern w:val="0"/>
          <w:sz w:val="32"/>
          <w:szCs w:val="32"/>
        </w:rPr>
      </w:pPr>
      <w:r>
        <w:rPr>
          <w:rFonts w:hint="eastAsia" w:ascii="黑体" w:hAnsi="黑体" w:eastAsia="黑体" w:cs="黑体"/>
          <w:kern w:val="0"/>
          <w:sz w:val="32"/>
          <w:szCs w:val="32"/>
          <w:lang w:val="en-US" w:eastAsia="zh-CN"/>
        </w:rPr>
        <w:t>八</w:t>
      </w:r>
      <w:r>
        <w:rPr>
          <w:rFonts w:hint="eastAsia" w:ascii="黑体" w:hAnsi="黑体" w:eastAsia="黑体" w:cs="黑体"/>
          <w:kern w:val="0"/>
          <w:sz w:val="32"/>
          <w:szCs w:val="32"/>
        </w:rPr>
        <w:t>、档案验收交接</w:t>
      </w:r>
    </w:p>
    <w:p>
      <w:pPr>
        <w:widowControl w:val="0"/>
        <w:adjustRightInd w:val="0"/>
        <w:snapToGrid w:val="0"/>
        <w:ind w:left="0" w:right="200" w:firstLine="640"/>
        <w:jc w:val="both"/>
        <w:rPr>
          <w:rFonts w:ascii="楷体" w:hAnsi="楷体" w:eastAsia="楷体"/>
          <w:kern w:val="0"/>
          <w:sz w:val="32"/>
          <w:szCs w:val="32"/>
        </w:rPr>
      </w:pPr>
      <w:r>
        <w:rPr>
          <w:rFonts w:hint="eastAsia" w:ascii="楷体" w:hAnsi="楷体" w:eastAsia="楷体" w:cs="楷体"/>
          <w:kern w:val="0"/>
          <w:sz w:val="32"/>
          <w:szCs w:val="32"/>
        </w:rPr>
        <w:t>（一）档案验收</w:t>
      </w:r>
    </w:p>
    <w:p>
      <w:pPr>
        <w:widowControl w:val="0"/>
        <w:adjustRightInd w:val="0"/>
        <w:snapToGrid w:val="0"/>
        <w:ind w:left="0" w:right="0" w:firstLine="640"/>
        <w:jc w:val="both"/>
        <w:rPr>
          <w:rFonts w:ascii="仿宋" w:hAnsi="仿宋" w:eastAsia="仿宋"/>
          <w:kern w:val="0"/>
          <w:sz w:val="32"/>
          <w:szCs w:val="32"/>
        </w:rPr>
      </w:pPr>
      <w:r>
        <w:rPr>
          <w:rFonts w:ascii="仿宋" w:hAnsi="仿宋" w:eastAsia="仿宋" w:cs="仿宋"/>
          <w:i w:val="0"/>
          <w:caps w:val="0"/>
          <w:color w:val="000000"/>
          <w:spacing w:val="0"/>
          <w:sz w:val="30"/>
          <w:szCs w:val="30"/>
          <w:shd w:val="clear" w:fill="FFFFFF"/>
        </w:rPr>
        <w:t>各</w:t>
      </w:r>
      <w:r>
        <w:rPr>
          <w:rFonts w:hint="eastAsia" w:ascii="仿宋" w:hAnsi="仿宋" w:eastAsia="仿宋" w:cs="仿宋"/>
          <w:i w:val="0"/>
          <w:caps w:val="0"/>
          <w:color w:val="000000"/>
          <w:spacing w:val="0"/>
          <w:sz w:val="30"/>
          <w:szCs w:val="30"/>
          <w:shd w:val="clear" w:fill="FFFFFF"/>
          <w:lang w:val="en-US" w:eastAsia="zh-CN"/>
        </w:rPr>
        <w:t>学院（部）</w:t>
      </w:r>
      <w:r>
        <w:rPr>
          <w:rFonts w:ascii="仿宋" w:hAnsi="仿宋" w:eastAsia="仿宋" w:cs="仿宋"/>
          <w:i w:val="0"/>
          <w:caps w:val="0"/>
          <w:color w:val="000000"/>
          <w:spacing w:val="0"/>
          <w:sz w:val="30"/>
          <w:szCs w:val="30"/>
          <w:shd w:val="clear" w:fill="FFFFFF"/>
        </w:rPr>
        <w:t>、各单位归档文件材料整理完毕后，应及时向档案馆移交。</w:t>
      </w:r>
      <w:r>
        <w:rPr>
          <w:rFonts w:hint="eastAsia" w:ascii="仿宋" w:hAnsi="仿宋" w:eastAsia="仿宋" w:cs="仿宋"/>
          <w:kern w:val="0"/>
          <w:sz w:val="32"/>
          <w:szCs w:val="32"/>
        </w:rPr>
        <w:t>档案馆有关业务部室应及时将移交的所有档案及目录开展验收。验收内容包括：</w:t>
      </w:r>
    </w:p>
    <w:p>
      <w:pPr>
        <w:widowControl w:val="0"/>
        <w:adjustRightInd w:val="0"/>
        <w:snapToGrid w:val="0"/>
        <w:ind w:left="0" w:right="0" w:firstLine="640"/>
        <w:jc w:val="both"/>
        <w:rPr>
          <w:rFonts w:ascii="仿宋" w:hAnsi="仿宋" w:eastAsia="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质量检查</w:t>
      </w:r>
      <w:r>
        <w:rPr>
          <w:rFonts w:ascii="仿宋" w:hAnsi="仿宋" w:eastAsia="仿宋" w:cs="仿宋"/>
          <w:kern w:val="0"/>
          <w:sz w:val="32"/>
          <w:szCs w:val="32"/>
        </w:rPr>
        <w:t>:</w:t>
      </w:r>
      <w:r>
        <w:rPr>
          <w:rFonts w:hint="eastAsia" w:ascii="仿宋" w:hAnsi="仿宋" w:eastAsia="仿宋" w:cs="仿宋"/>
          <w:kern w:val="0"/>
          <w:sz w:val="32"/>
          <w:szCs w:val="32"/>
        </w:rPr>
        <w:t>按照档案业务规范的要求和规定，检查组件或组卷是否合理，案卷封面、归档文件目录或卷内目录、备考表填写是否规范，案卷及卷（件）内文件排列、整理是否符合要求，案卷标题是否简明、准确</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文件材料字迹，手续是否规范</w:t>
      </w:r>
      <w:r>
        <w:rPr>
          <w:rFonts w:hint="eastAsia" w:ascii="仿宋" w:hAnsi="仿宋" w:eastAsia="仿宋" w:cs="仿宋"/>
          <w:kern w:val="0"/>
          <w:sz w:val="32"/>
          <w:szCs w:val="32"/>
        </w:rPr>
        <w:t>等。对不符合规范要求的案卷应提出整改意见，并督促按时完成。</w:t>
      </w:r>
    </w:p>
    <w:p>
      <w:pPr>
        <w:widowControl w:val="0"/>
        <w:adjustRightInd w:val="0"/>
        <w:snapToGrid w:val="0"/>
        <w:ind w:left="0" w:right="0" w:firstLine="640"/>
        <w:jc w:val="both"/>
        <w:rPr>
          <w:rFonts w:ascii="仿宋" w:hAnsi="仿宋" w:eastAsia="仿宋"/>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数量检查</w:t>
      </w:r>
      <w:r>
        <w:rPr>
          <w:rFonts w:ascii="仿宋" w:hAnsi="仿宋" w:eastAsia="仿宋" w:cs="仿宋"/>
          <w:kern w:val="0"/>
          <w:sz w:val="32"/>
          <w:szCs w:val="32"/>
        </w:rPr>
        <w:t>:</w:t>
      </w:r>
      <w:r>
        <w:rPr>
          <w:rFonts w:hint="eastAsia" w:ascii="仿宋" w:hAnsi="仿宋" w:eastAsia="仿宋" w:cs="仿宋"/>
          <w:kern w:val="0"/>
          <w:sz w:val="32"/>
          <w:szCs w:val="32"/>
        </w:rPr>
        <w:t>看归档文件或案卷总数与移交目录是否相符。</w:t>
      </w:r>
    </w:p>
    <w:p>
      <w:pPr>
        <w:widowControl w:val="0"/>
        <w:adjustRightInd w:val="0"/>
        <w:snapToGrid w:val="0"/>
        <w:ind w:left="0" w:right="200" w:firstLine="640"/>
        <w:jc w:val="both"/>
        <w:rPr>
          <w:rFonts w:ascii="楷体" w:hAnsi="楷体" w:eastAsia="楷体"/>
          <w:kern w:val="0"/>
          <w:sz w:val="32"/>
          <w:szCs w:val="32"/>
        </w:rPr>
      </w:pPr>
      <w:r>
        <w:rPr>
          <w:rFonts w:hint="eastAsia" w:ascii="楷体" w:hAnsi="楷体" w:eastAsia="楷体" w:cs="楷体"/>
          <w:kern w:val="0"/>
          <w:sz w:val="32"/>
          <w:szCs w:val="32"/>
        </w:rPr>
        <w:t>（二）档案交接</w:t>
      </w:r>
    </w:p>
    <w:p>
      <w:pPr>
        <w:widowControl w:val="0"/>
        <w:adjustRightInd w:val="0"/>
        <w:snapToGrid w:val="0"/>
        <w:ind w:left="0" w:right="200" w:firstLine="640"/>
        <w:jc w:val="both"/>
        <w:rPr>
          <w:rFonts w:ascii="仿宋" w:hAnsi="仿宋" w:eastAsia="仿宋"/>
          <w:sz w:val="32"/>
          <w:szCs w:val="32"/>
        </w:rPr>
      </w:pPr>
      <w:r>
        <w:rPr>
          <w:rFonts w:hint="eastAsia" w:ascii="仿宋" w:hAnsi="仿宋" w:eastAsia="仿宋" w:cs="仿宋"/>
          <w:kern w:val="0"/>
          <w:sz w:val="32"/>
          <w:szCs w:val="32"/>
        </w:rPr>
        <w:t>经验收无误后，填写</w:t>
      </w:r>
      <w:r>
        <w:rPr>
          <w:rFonts w:hint="eastAsia" w:ascii="仿宋" w:hAnsi="仿宋" w:eastAsia="仿宋" w:cs="仿宋"/>
          <w:color w:val="000000"/>
          <w:kern w:val="0"/>
          <w:sz w:val="32"/>
          <w:szCs w:val="32"/>
        </w:rPr>
        <w:t>《</w:t>
      </w:r>
      <w:r>
        <w:rPr>
          <w:rStyle w:val="8"/>
          <w:rFonts w:hint="eastAsia" w:cs="微软雅黑" w:asciiTheme="minorEastAsia" w:hAnsiTheme="minorEastAsia"/>
          <w:b w:val="0"/>
          <w:color w:val="000000"/>
          <w:sz w:val="28"/>
          <w:szCs w:val="28"/>
        </w:rPr>
        <w:t>档案移交情况说明</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与打印归档目录</w:t>
      </w:r>
      <w:r>
        <w:rPr>
          <w:rFonts w:hint="eastAsia" w:ascii="仿宋" w:hAnsi="仿宋" w:eastAsia="仿宋" w:cs="仿宋"/>
          <w:color w:val="000000"/>
          <w:kern w:val="0"/>
          <w:sz w:val="32"/>
          <w:szCs w:val="32"/>
        </w:rPr>
        <w:t>，</w:t>
      </w:r>
      <w:r>
        <w:rPr>
          <w:rFonts w:hint="eastAsia" w:ascii="仿宋" w:hAnsi="仿宋" w:eastAsia="仿宋" w:cs="仿宋"/>
          <w:kern w:val="0"/>
          <w:sz w:val="32"/>
          <w:szCs w:val="32"/>
        </w:rPr>
        <w:t>载明归档文件数量、案卷数量、移交时间等内容，交接双方经办人、业务主管应在档案交接表上签章，交接表一式二份，双方各保存一份。</w:t>
      </w:r>
    </w:p>
    <w:p>
      <w:pPr>
        <w:widowControl w:val="0"/>
        <w:adjustRightInd w:val="0"/>
        <w:snapToGrid w:val="0"/>
        <w:ind w:left="0" w:firstLine="640"/>
        <w:jc w:val="both"/>
      </w:pPr>
      <w:r>
        <w:rPr>
          <w:rFonts w:hint="eastAsia" w:ascii="仿宋" w:hAnsi="仿宋" w:eastAsia="仿宋" w:cs="仿宋"/>
          <w:sz w:val="32"/>
          <w:szCs w:val="32"/>
        </w:rPr>
        <w:t>本规范未尽事宜，参阅《高等学校档案实体分类法》《高等学校档案工作规范》《归档文件整理规则》或由档案馆负责解释。</w:t>
      </w:r>
    </w:p>
    <w:sectPr>
      <w:headerReference r:id="rId3" w:type="default"/>
      <w:footerReference r:id="rId4" w:type="default"/>
      <w:pgSz w:w="11906" w:h="16838"/>
      <w:pgMar w:top="1440" w:right="155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center"/>
    </w:pPr>
    <w:r>
      <w:fldChar w:fldCharType="begin"/>
    </w:r>
    <w:r>
      <w:instrText xml:space="preserve">PAGE   \* MERGEFORMAT</w:instrText>
    </w:r>
    <w:r>
      <w:fldChar w:fldCharType="separate"/>
    </w:r>
    <w:r>
      <w:rPr>
        <w:lang w:val="zh-CN"/>
      </w:rPr>
      <w:t>12</w:t>
    </w:r>
    <w:r>
      <w:rPr>
        <w:lang w:val="zh-CN"/>
      </w:rPr>
      <w:fldChar w:fldCharType="end"/>
    </w:r>
  </w:p>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05F"/>
    <w:rsid w:val="00020960"/>
    <w:rsid w:val="00022C00"/>
    <w:rsid w:val="000456FF"/>
    <w:rsid w:val="00091BB2"/>
    <w:rsid w:val="00095CC7"/>
    <w:rsid w:val="000A7DD9"/>
    <w:rsid w:val="000B3252"/>
    <w:rsid w:val="0011044E"/>
    <w:rsid w:val="00147C3A"/>
    <w:rsid w:val="001E0F70"/>
    <w:rsid w:val="00207269"/>
    <w:rsid w:val="00234837"/>
    <w:rsid w:val="002349D5"/>
    <w:rsid w:val="00256731"/>
    <w:rsid w:val="002745C2"/>
    <w:rsid w:val="002C4CB2"/>
    <w:rsid w:val="002E32D0"/>
    <w:rsid w:val="002F2037"/>
    <w:rsid w:val="00304414"/>
    <w:rsid w:val="00305F08"/>
    <w:rsid w:val="00306E19"/>
    <w:rsid w:val="00325FE4"/>
    <w:rsid w:val="003301D0"/>
    <w:rsid w:val="00346636"/>
    <w:rsid w:val="00347006"/>
    <w:rsid w:val="00353400"/>
    <w:rsid w:val="0037346A"/>
    <w:rsid w:val="003779A8"/>
    <w:rsid w:val="0038172B"/>
    <w:rsid w:val="00384EF2"/>
    <w:rsid w:val="003A4E18"/>
    <w:rsid w:val="003A5E51"/>
    <w:rsid w:val="003D01EB"/>
    <w:rsid w:val="003E5A68"/>
    <w:rsid w:val="003F09D7"/>
    <w:rsid w:val="003F7ED6"/>
    <w:rsid w:val="00405588"/>
    <w:rsid w:val="004078D5"/>
    <w:rsid w:val="00420CF3"/>
    <w:rsid w:val="00445448"/>
    <w:rsid w:val="00451AC4"/>
    <w:rsid w:val="0049063E"/>
    <w:rsid w:val="00494413"/>
    <w:rsid w:val="004B3524"/>
    <w:rsid w:val="004C5CAB"/>
    <w:rsid w:val="004D05ED"/>
    <w:rsid w:val="004E7057"/>
    <w:rsid w:val="004F4F56"/>
    <w:rsid w:val="00515A72"/>
    <w:rsid w:val="00522445"/>
    <w:rsid w:val="00532700"/>
    <w:rsid w:val="00533694"/>
    <w:rsid w:val="005369C6"/>
    <w:rsid w:val="00543D4B"/>
    <w:rsid w:val="005638CC"/>
    <w:rsid w:val="00572B81"/>
    <w:rsid w:val="00573832"/>
    <w:rsid w:val="00580297"/>
    <w:rsid w:val="005812F7"/>
    <w:rsid w:val="005A1118"/>
    <w:rsid w:val="005A6F82"/>
    <w:rsid w:val="005B5D87"/>
    <w:rsid w:val="005E252F"/>
    <w:rsid w:val="005F4F0C"/>
    <w:rsid w:val="00652073"/>
    <w:rsid w:val="00652855"/>
    <w:rsid w:val="0065569B"/>
    <w:rsid w:val="00664A30"/>
    <w:rsid w:val="00673A04"/>
    <w:rsid w:val="00690AE7"/>
    <w:rsid w:val="006B01C2"/>
    <w:rsid w:val="006B1ADD"/>
    <w:rsid w:val="006C3713"/>
    <w:rsid w:val="006C4D34"/>
    <w:rsid w:val="006D50F9"/>
    <w:rsid w:val="006D52EC"/>
    <w:rsid w:val="006F6141"/>
    <w:rsid w:val="00701B5E"/>
    <w:rsid w:val="00704520"/>
    <w:rsid w:val="00710ED7"/>
    <w:rsid w:val="00734953"/>
    <w:rsid w:val="007926E0"/>
    <w:rsid w:val="007B0252"/>
    <w:rsid w:val="007B0350"/>
    <w:rsid w:val="007C3EF0"/>
    <w:rsid w:val="007C45B2"/>
    <w:rsid w:val="007E7855"/>
    <w:rsid w:val="00803E07"/>
    <w:rsid w:val="008065BC"/>
    <w:rsid w:val="00807E06"/>
    <w:rsid w:val="00813021"/>
    <w:rsid w:val="00826D67"/>
    <w:rsid w:val="00840039"/>
    <w:rsid w:val="00876511"/>
    <w:rsid w:val="008C6A97"/>
    <w:rsid w:val="008D66DA"/>
    <w:rsid w:val="00904034"/>
    <w:rsid w:val="00904421"/>
    <w:rsid w:val="00935DE7"/>
    <w:rsid w:val="009372EB"/>
    <w:rsid w:val="00954C89"/>
    <w:rsid w:val="00955511"/>
    <w:rsid w:val="009712D3"/>
    <w:rsid w:val="00980015"/>
    <w:rsid w:val="00994DFA"/>
    <w:rsid w:val="009A5EAD"/>
    <w:rsid w:val="009E27A0"/>
    <w:rsid w:val="009E4178"/>
    <w:rsid w:val="00A00B1B"/>
    <w:rsid w:val="00A51753"/>
    <w:rsid w:val="00A55DD0"/>
    <w:rsid w:val="00A70F8A"/>
    <w:rsid w:val="00A81A70"/>
    <w:rsid w:val="00AA0953"/>
    <w:rsid w:val="00AC2480"/>
    <w:rsid w:val="00AE0D0B"/>
    <w:rsid w:val="00B067EC"/>
    <w:rsid w:val="00B07364"/>
    <w:rsid w:val="00B1201F"/>
    <w:rsid w:val="00B13959"/>
    <w:rsid w:val="00B1685D"/>
    <w:rsid w:val="00B42C40"/>
    <w:rsid w:val="00B54606"/>
    <w:rsid w:val="00B60320"/>
    <w:rsid w:val="00B63B1C"/>
    <w:rsid w:val="00B717F6"/>
    <w:rsid w:val="00B75E4A"/>
    <w:rsid w:val="00B767D2"/>
    <w:rsid w:val="00B84DD7"/>
    <w:rsid w:val="00C14C03"/>
    <w:rsid w:val="00C15DCC"/>
    <w:rsid w:val="00C22000"/>
    <w:rsid w:val="00C26E12"/>
    <w:rsid w:val="00C42925"/>
    <w:rsid w:val="00C42DC6"/>
    <w:rsid w:val="00C54626"/>
    <w:rsid w:val="00C549F3"/>
    <w:rsid w:val="00C57A6C"/>
    <w:rsid w:val="00C60E7E"/>
    <w:rsid w:val="00C72FFD"/>
    <w:rsid w:val="00C73E7B"/>
    <w:rsid w:val="00C9314E"/>
    <w:rsid w:val="00CB1643"/>
    <w:rsid w:val="00CB287B"/>
    <w:rsid w:val="00CD2148"/>
    <w:rsid w:val="00D54722"/>
    <w:rsid w:val="00D57FE8"/>
    <w:rsid w:val="00D821C4"/>
    <w:rsid w:val="00DA138E"/>
    <w:rsid w:val="00DD2255"/>
    <w:rsid w:val="00DF3077"/>
    <w:rsid w:val="00DF52E2"/>
    <w:rsid w:val="00E00FB8"/>
    <w:rsid w:val="00E2605F"/>
    <w:rsid w:val="00E3775B"/>
    <w:rsid w:val="00E42CA5"/>
    <w:rsid w:val="00E536CA"/>
    <w:rsid w:val="00EA0822"/>
    <w:rsid w:val="00EC3B9E"/>
    <w:rsid w:val="00EE0ECB"/>
    <w:rsid w:val="00EF49C1"/>
    <w:rsid w:val="00F06F46"/>
    <w:rsid w:val="00F516D7"/>
    <w:rsid w:val="00F97D76"/>
    <w:rsid w:val="00FC6D71"/>
    <w:rsid w:val="12C369F9"/>
    <w:rsid w:val="41DE0C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left="198" w:right="198" w:firstLine="200" w:firstLineChars="200"/>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0"/>
    <w:semiHidden/>
    <w:qFormat/>
    <w:uiPriority w:val="99"/>
    <w:rPr>
      <w:rFonts w:ascii="Microsoft YaHei UI" w:eastAsia="Microsoft YaHei UI" w:cs="Microsoft YaHei UI"/>
      <w:sz w:val="18"/>
      <w:szCs w:val="18"/>
    </w:rPr>
  </w:style>
  <w:style w:type="paragraph" w:styleId="3">
    <w:name w:val="Balloon Text"/>
    <w:basedOn w:val="1"/>
    <w:link w:val="13"/>
    <w:semiHidden/>
    <w:uiPriority w:val="99"/>
    <w:pPr>
      <w:spacing w:line="240" w:lineRule="auto"/>
    </w:pPr>
    <w:rPr>
      <w:sz w:val="18"/>
      <w:szCs w:val="18"/>
    </w:rPr>
  </w:style>
  <w:style w:type="paragraph" w:styleId="4">
    <w:name w:val="footer"/>
    <w:basedOn w:val="1"/>
    <w:link w:val="12"/>
    <w:qFormat/>
    <w:uiPriority w:val="99"/>
    <w:pPr>
      <w:tabs>
        <w:tab w:val="center" w:pos="4153"/>
        <w:tab w:val="right" w:pos="8306"/>
      </w:tabs>
      <w:snapToGrid w:val="0"/>
      <w:spacing w:line="240" w:lineRule="atLeas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8">
    <w:name w:val="Strong"/>
    <w:basedOn w:val="7"/>
    <w:qFormat/>
    <w:locked/>
    <w:uiPriority w:val="0"/>
    <w:rPr>
      <w:b/>
    </w:rPr>
  </w:style>
  <w:style w:type="paragraph" w:customStyle="1" w:styleId="9">
    <w:name w:val="Char Char Char Char Char Char Char Char Char Char Char"/>
    <w:basedOn w:val="2"/>
    <w:uiPriority w:val="99"/>
    <w:pPr>
      <w:shd w:val="clear" w:color="auto" w:fill="000080"/>
      <w:ind w:firstLine="403"/>
    </w:pPr>
    <w:rPr>
      <w:rFonts w:ascii="Times New Roman" w:eastAsia="宋体" w:cs="Times New Roman"/>
    </w:rPr>
  </w:style>
  <w:style w:type="character" w:customStyle="1" w:styleId="10">
    <w:name w:val="文档结构图 Char"/>
    <w:link w:val="2"/>
    <w:semiHidden/>
    <w:locked/>
    <w:uiPriority w:val="99"/>
    <w:rPr>
      <w:rFonts w:ascii="Microsoft YaHei UI" w:hAnsi="Times New Roman" w:eastAsia="Microsoft YaHei UI" w:cs="Microsoft YaHei UI"/>
      <w:sz w:val="18"/>
      <w:szCs w:val="18"/>
    </w:rPr>
  </w:style>
  <w:style w:type="character" w:customStyle="1" w:styleId="11">
    <w:name w:val="页眉 Char"/>
    <w:link w:val="5"/>
    <w:locked/>
    <w:uiPriority w:val="99"/>
    <w:rPr>
      <w:rFonts w:ascii="Times New Roman" w:hAnsi="Times New Roman" w:eastAsia="宋体" w:cs="Times New Roman"/>
      <w:sz w:val="18"/>
      <w:szCs w:val="18"/>
    </w:rPr>
  </w:style>
  <w:style w:type="character" w:customStyle="1" w:styleId="12">
    <w:name w:val="页脚 Char"/>
    <w:link w:val="4"/>
    <w:locked/>
    <w:uiPriority w:val="99"/>
    <w:rPr>
      <w:rFonts w:ascii="Times New Roman" w:hAnsi="Times New Roman" w:eastAsia="宋体" w:cs="Times New Roman"/>
      <w:sz w:val="18"/>
      <w:szCs w:val="18"/>
    </w:rPr>
  </w:style>
  <w:style w:type="character" w:customStyle="1" w:styleId="13">
    <w:name w:val="批注框文本 Char"/>
    <w:link w:val="3"/>
    <w:semiHidden/>
    <w:locked/>
    <w:uiPriority w:val="99"/>
    <w:rPr>
      <w:rFonts w:ascii="Times New Roman" w:hAnsi="Times New Roman" w:eastAsia="宋体" w:cs="Times New Roman"/>
      <w:sz w:val="18"/>
      <w:szCs w:val="18"/>
    </w:rPr>
  </w:style>
  <w:style w:type="paragraph" w:styleId="14">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dag</Company>
  <Pages>13</Pages>
  <Words>992</Words>
  <Characters>5655</Characters>
  <Lines>47</Lines>
  <Paragraphs>13</Paragraphs>
  <TotalTime>2</TotalTime>
  <ScaleCrop>false</ScaleCrop>
  <LinksUpToDate>false</LinksUpToDate>
  <CharactersWithSpaces>6634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2016-04-29T01:05:00Z</dcterms:created>
  <dc:creator>admin</dc:creator>
  <cp:lastModifiedBy>李殷青</cp:lastModifiedBy>
  <cp:lastPrinted>2016-04-29T02:17:00Z</cp:lastPrinted>
  <dcterms:modified xsi:type="dcterms:W3CDTF">2020-04-06T04:22:15Z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