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048334">
      <w:pPr>
        <w:keepNext w:val="0"/>
        <w:keepLines w:val="0"/>
        <w:pageBreakBefore w:val="0"/>
        <w:widowControl/>
        <w:kinsoku/>
        <w:wordWrap w:val="0"/>
        <w:overflowPunct/>
        <w:topLinePunct w:val="0"/>
        <w:autoSpaceDE/>
        <w:autoSpaceDN/>
        <w:bidi w:val="0"/>
        <w:adjustRightInd/>
        <w:snapToGrid/>
        <w:spacing w:line="360" w:lineRule="auto"/>
        <w:jc w:val="both"/>
        <w:textAlignment w:val="auto"/>
        <w:rPr>
          <w:rFonts w:hint="eastAsia" w:ascii="宋体" w:hAnsi="宋体" w:cs="宋体"/>
          <w:b/>
          <w:bCs/>
          <w:color w:val="000000"/>
          <w:kern w:val="0"/>
          <w:sz w:val="24"/>
          <w:szCs w:val="24"/>
          <w:highlight w:val="none"/>
          <w:lang w:val="en-US" w:eastAsia="zh-CN"/>
        </w:rPr>
      </w:pPr>
      <w:bookmarkStart w:id="0" w:name="_GoBack"/>
      <w:bookmarkEnd w:id="0"/>
      <w:r>
        <w:rPr>
          <w:rFonts w:hint="eastAsia" w:ascii="宋体" w:hAnsi="宋体" w:cs="宋体"/>
          <w:b/>
          <w:bCs/>
          <w:color w:val="000000"/>
          <w:kern w:val="0"/>
          <w:sz w:val="24"/>
          <w:szCs w:val="24"/>
          <w:highlight w:val="none"/>
          <w:lang w:val="en-US" w:eastAsia="zh-CN"/>
        </w:rPr>
        <w:t>附件2：</w:t>
      </w:r>
    </w:p>
    <w:p w14:paraId="2EDE5120">
      <w:pPr>
        <w:keepNext w:val="0"/>
        <w:keepLines w:val="0"/>
        <w:pageBreakBefore w:val="0"/>
        <w:widowControl/>
        <w:kinsoku/>
        <w:wordWrap w:val="0"/>
        <w:overflowPunct/>
        <w:topLinePunct w:val="0"/>
        <w:autoSpaceDE/>
        <w:autoSpaceDN/>
        <w:bidi w:val="0"/>
        <w:adjustRightInd/>
        <w:snapToGrid/>
        <w:spacing w:line="360" w:lineRule="auto"/>
        <w:jc w:val="both"/>
        <w:textAlignment w:val="auto"/>
        <w:rPr>
          <w:rFonts w:hint="eastAsia" w:ascii="宋体" w:hAnsi="宋体" w:cs="宋体"/>
          <w:b/>
          <w:bCs/>
          <w:color w:val="000000"/>
          <w:kern w:val="0"/>
          <w:sz w:val="24"/>
          <w:szCs w:val="24"/>
          <w:highlight w:val="none"/>
          <w:lang w:val="en-US" w:eastAsia="zh-CN"/>
        </w:rPr>
      </w:pPr>
    </w:p>
    <w:p w14:paraId="0FBE238B">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华文中宋" w:hAnsi="华文中宋" w:eastAsia="华文中宋" w:cs="华文中宋"/>
          <w:b/>
          <w:bCs/>
          <w:color w:val="000000"/>
          <w:kern w:val="0"/>
          <w:sz w:val="32"/>
          <w:szCs w:val="32"/>
          <w:highlight w:val="none"/>
          <w:lang w:val="en-US" w:eastAsia="zh-CN"/>
        </w:rPr>
      </w:pPr>
      <w:r>
        <w:rPr>
          <w:rFonts w:hint="eastAsia" w:ascii="华文中宋" w:hAnsi="华文中宋" w:eastAsia="华文中宋" w:cs="华文中宋"/>
          <w:b/>
          <w:bCs/>
          <w:color w:val="000000"/>
          <w:kern w:val="0"/>
          <w:sz w:val="32"/>
          <w:szCs w:val="32"/>
          <w:highlight w:val="none"/>
          <w:lang w:val="en-US" w:eastAsia="zh-CN"/>
        </w:rPr>
        <w:t>本科课堂教学优秀奖评选补充说明</w:t>
      </w:r>
    </w:p>
    <w:p w14:paraId="67A9AE7E">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cs="宋体"/>
          <w:color w:val="000000"/>
          <w:kern w:val="0"/>
          <w:sz w:val="24"/>
          <w:highlight w:val="none"/>
          <w:lang w:val="en-US" w:eastAsia="zh-CN"/>
        </w:rPr>
      </w:pPr>
    </w:p>
    <w:p w14:paraId="5537E5E9">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default" w:ascii="宋体" w:hAnsi="宋体" w:cs="宋体"/>
          <w:b/>
          <w:bCs/>
          <w:color w:val="000000"/>
          <w:kern w:val="0"/>
          <w:sz w:val="24"/>
          <w:highlight w:val="none"/>
          <w:lang w:val="en-US" w:eastAsia="zh-CN"/>
        </w:rPr>
      </w:pPr>
      <w:r>
        <w:rPr>
          <w:rFonts w:hint="eastAsia" w:ascii="宋体" w:hAnsi="宋体" w:cs="宋体"/>
          <w:b/>
          <w:bCs/>
          <w:color w:val="000000"/>
          <w:kern w:val="0"/>
          <w:sz w:val="24"/>
          <w:highlight w:val="none"/>
          <w:lang w:val="en-US" w:eastAsia="zh-CN"/>
        </w:rPr>
        <w:t>一、对“积极主动承担全日制本科生课堂教学工作任务，评选当学年度至少独立为本科生主讲1门课程，且授课课时数不低于所在学院（部）教师本科课堂教学平均课时数”补充说明</w:t>
      </w:r>
    </w:p>
    <w:p w14:paraId="7517ED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s="宋体"/>
          <w:b w:val="0"/>
          <w:bCs w:val="0"/>
          <w:color w:val="000000"/>
          <w:kern w:val="0"/>
          <w:sz w:val="24"/>
          <w:highlight w:val="none"/>
          <w:lang w:val="en-US" w:eastAsia="zh-CN"/>
        </w:rPr>
      </w:pPr>
      <w:r>
        <w:rPr>
          <w:rFonts w:hint="eastAsia" w:ascii="宋体" w:hAnsi="宋体" w:cs="宋体"/>
          <w:b w:val="0"/>
          <w:bCs w:val="0"/>
          <w:color w:val="000000"/>
          <w:kern w:val="0"/>
          <w:sz w:val="24"/>
          <w:highlight w:val="none"/>
          <w:lang w:val="en-US" w:eastAsia="zh-CN"/>
        </w:rPr>
        <w:t>各学院（部）须根据本单位实际授课情况制定授课课时数核算办法或分类制定授课课时数核算办法（例如按照专业课/公共课分类），如分类核算，则授课课时数不低于所属类别的本科课堂教学平均课时数。课时数不得包含指导学生实习、实践、毕业论文等课时数，在课时数相同的情况下指导实习实践和毕业论文的，可优先考虑。</w:t>
      </w:r>
    </w:p>
    <w:p w14:paraId="23BA358A">
      <w:pPr>
        <w:pStyle w:val="4"/>
        <w:keepNext w:val="0"/>
        <w:keepLines w:val="0"/>
        <w:pageBreakBefore w:val="0"/>
        <w:widowControl/>
        <w:suppressLineNumbers w:val="0"/>
        <w:kinsoku/>
        <w:wordWrap/>
        <w:overflowPunct/>
        <w:topLinePunct w:val="0"/>
        <w:autoSpaceDE/>
        <w:autoSpaceDN/>
        <w:bidi w:val="0"/>
        <w:adjustRightInd/>
        <w:snapToGrid/>
        <w:spacing w:before="313" w:beforeLines="100" w:beforeAutospacing="0" w:after="0" w:afterAutospacing="0" w:line="360" w:lineRule="auto"/>
        <w:ind w:left="0" w:right="0" w:firstLine="482" w:firstLineChars="200"/>
        <w:jc w:val="left"/>
        <w:textAlignment w:val="auto"/>
        <w:rPr>
          <w:b/>
          <w:bCs/>
        </w:rPr>
      </w:pPr>
      <w:r>
        <w:rPr>
          <w:rFonts w:hint="eastAsia" w:ascii="宋体" w:hAnsi="宋体" w:eastAsia="宋体" w:cs="宋体"/>
          <w:b/>
          <w:bCs/>
          <w:i w:val="0"/>
          <w:iCs w:val="0"/>
          <w:color w:val="000000"/>
          <w:spacing w:val="0"/>
          <w:w w:val="100"/>
          <w:sz w:val="24"/>
          <w:szCs w:val="24"/>
          <w:vertAlign w:val="baseline"/>
        </w:rPr>
        <w:t>二、对“当学年度所讲授的课程，被教学督导评价为‘优秀’”的补充说明</w:t>
      </w:r>
    </w:p>
    <w:p w14:paraId="341E513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color w:val="000000"/>
          <w:kern w:val="0"/>
          <w:sz w:val="24"/>
          <w:highlight w:val="none"/>
          <w:lang w:val="en-US" w:eastAsia="zh-CN"/>
        </w:rPr>
      </w:pPr>
      <w:r>
        <w:rPr>
          <w:rFonts w:hint="eastAsia" w:ascii="宋体" w:hAnsi="宋体" w:cs="宋体"/>
          <w:b w:val="0"/>
          <w:bCs w:val="0"/>
          <w:color w:val="000000"/>
          <w:kern w:val="0"/>
          <w:sz w:val="24"/>
          <w:highlight w:val="none"/>
          <w:lang w:val="en-US" w:eastAsia="zh-CN"/>
        </w:rPr>
        <w:t>应优先推荐被校级督导评价优秀的教师，具体要求为：申请教师学年内校级督导评分的平均分不得低于所在学院（部）学年内校级督导评分的平均分，且至少有一个校级督导评价为优秀（90分及以上）。</w:t>
      </w:r>
    </w:p>
    <w:p w14:paraId="268406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color w:val="000000"/>
          <w:kern w:val="0"/>
          <w:sz w:val="24"/>
          <w:highlight w:val="none"/>
          <w:lang w:val="en-US" w:eastAsia="zh-CN"/>
        </w:rPr>
      </w:pPr>
      <w:r>
        <w:rPr>
          <w:rFonts w:hint="eastAsia" w:ascii="宋体" w:hAnsi="宋体" w:cs="宋体"/>
          <w:b w:val="0"/>
          <w:bCs w:val="0"/>
          <w:color w:val="000000"/>
          <w:kern w:val="0"/>
          <w:sz w:val="24"/>
          <w:highlight w:val="none"/>
          <w:lang w:val="en-US" w:eastAsia="zh-CN"/>
        </w:rPr>
        <w:t>其次可考虑被院（部）级督导评价优秀的教师，具体要求为：申请教师学年内平均分不得低于所在学院（部）学年内院（部）级督导评分的平均分且至少有一个院（部）级督导评价为优秀（90分及以上）。</w:t>
      </w:r>
    </w:p>
    <w:p w14:paraId="5F21100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s="宋体"/>
          <w:b w:val="0"/>
          <w:bCs w:val="0"/>
          <w:color w:val="000000"/>
          <w:kern w:val="0"/>
          <w:sz w:val="24"/>
          <w:highlight w:val="yellow"/>
          <w:lang w:val="en-US" w:eastAsia="zh-CN"/>
        </w:rPr>
      </w:pPr>
      <w:r>
        <w:rPr>
          <w:rFonts w:hint="eastAsia" w:ascii="宋体" w:hAnsi="宋体" w:cs="宋体"/>
          <w:b w:val="0"/>
          <w:bCs w:val="0"/>
          <w:color w:val="000000"/>
          <w:kern w:val="0"/>
          <w:sz w:val="24"/>
          <w:highlight w:val="none"/>
          <w:lang w:val="en-US" w:eastAsia="zh-CN"/>
        </w:rPr>
        <w:t>各学院（部）学年内校级督导、院（部）级督导评分的平均分，评建办将单独发给各学院（部）。</w:t>
      </w:r>
    </w:p>
    <w:p w14:paraId="12F36484">
      <w:pPr>
        <w:keepNext w:val="0"/>
        <w:keepLines w:val="0"/>
        <w:pageBreakBefore w:val="0"/>
        <w:widowControl/>
        <w:kinsoku/>
        <w:wordWrap w:val="0"/>
        <w:overflowPunct/>
        <w:topLinePunct w:val="0"/>
        <w:autoSpaceDE/>
        <w:autoSpaceDN/>
        <w:bidi w:val="0"/>
        <w:adjustRightInd/>
        <w:snapToGrid/>
        <w:spacing w:before="313" w:beforeLines="100" w:line="360" w:lineRule="auto"/>
        <w:ind w:firstLine="482" w:firstLineChars="200"/>
        <w:jc w:val="left"/>
        <w:textAlignment w:val="auto"/>
        <w:rPr>
          <w:rFonts w:hint="default" w:ascii="宋体" w:hAnsi="宋体" w:eastAsia="宋体" w:cs="宋体"/>
          <w:b/>
          <w:bCs/>
          <w:i w:val="0"/>
          <w:iCs w:val="0"/>
          <w:color w:val="000000"/>
          <w:spacing w:val="0"/>
          <w:w w:val="100"/>
          <w:kern w:val="2"/>
          <w:sz w:val="24"/>
          <w:szCs w:val="24"/>
          <w:vertAlign w:val="baseline"/>
          <w:lang w:val="en-US" w:eastAsia="zh-CN" w:bidi="ar-SA"/>
        </w:rPr>
      </w:pPr>
      <w:r>
        <w:rPr>
          <w:rFonts w:hint="eastAsia" w:ascii="宋体" w:hAnsi="宋体" w:eastAsia="宋体" w:cs="宋体"/>
          <w:b/>
          <w:bCs/>
          <w:i w:val="0"/>
          <w:iCs w:val="0"/>
          <w:color w:val="000000"/>
          <w:spacing w:val="0"/>
          <w:w w:val="100"/>
          <w:kern w:val="2"/>
          <w:sz w:val="24"/>
          <w:szCs w:val="24"/>
          <w:vertAlign w:val="baseline"/>
          <w:lang w:val="en-US" w:eastAsia="zh-CN" w:bidi="ar-SA"/>
        </w:rPr>
        <w:t>三、对“评分排名原则上不低于本学院（部）学生评教分数前50%。”的补充说明：</w:t>
      </w:r>
    </w:p>
    <w:p w14:paraId="74A89701">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i w:val="0"/>
          <w:iCs w:val="0"/>
          <w:color w:val="000000"/>
          <w:spacing w:val="0"/>
          <w:w w:val="100"/>
          <w:kern w:val="2"/>
          <w:sz w:val="24"/>
          <w:szCs w:val="24"/>
          <w:vertAlign w:val="baseline"/>
          <w:lang w:val="en-US" w:eastAsia="zh-CN" w:bidi="ar-SA"/>
        </w:rPr>
      </w:pPr>
      <w:r>
        <w:rPr>
          <w:rFonts w:hint="eastAsia" w:ascii="宋体" w:hAnsi="宋体" w:eastAsia="宋体" w:cs="宋体"/>
          <w:b w:val="0"/>
          <w:bCs w:val="0"/>
          <w:i w:val="0"/>
          <w:iCs w:val="0"/>
          <w:color w:val="000000"/>
          <w:spacing w:val="0"/>
          <w:w w:val="100"/>
          <w:kern w:val="2"/>
          <w:sz w:val="24"/>
          <w:szCs w:val="24"/>
          <w:vertAlign w:val="baseline"/>
          <w:lang w:val="en-US" w:eastAsia="zh-CN" w:bidi="ar-SA"/>
        </w:rPr>
        <w:t>各学院（部）可根据本单位实际授课情况进行评教排名或进行分类排名（如按照专业课/公共课，理论课/实验课进行分类），学生评教分数仅仅是评选条件之一，</w:t>
      </w:r>
      <w:r>
        <w:rPr>
          <w:rFonts w:hint="eastAsia" w:ascii="宋体" w:hAnsi="宋体" w:cs="宋体"/>
          <w:b w:val="0"/>
          <w:bCs w:val="0"/>
          <w:i w:val="0"/>
          <w:iCs w:val="0"/>
          <w:color w:val="000000"/>
          <w:spacing w:val="0"/>
          <w:w w:val="100"/>
          <w:kern w:val="2"/>
          <w:sz w:val="24"/>
          <w:szCs w:val="24"/>
          <w:vertAlign w:val="baseline"/>
          <w:lang w:val="en-US" w:eastAsia="zh-CN" w:bidi="ar-SA"/>
        </w:rPr>
        <w:t>各</w:t>
      </w:r>
      <w:r>
        <w:rPr>
          <w:rFonts w:hint="eastAsia" w:ascii="宋体" w:hAnsi="宋体" w:eastAsia="宋体" w:cs="宋体"/>
          <w:b w:val="0"/>
          <w:bCs w:val="0"/>
          <w:i w:val="0"/>
          <w:iCs w:val="0"/>
          <w:color w:val="000000"/>
          <w:spacing w:val="0"/>
          <w:w w:val="100"/>
          <w:kern w:val="2"/>
          <w:sz w:val="24"/>
          <w:szCs w:val="24"/>
          <w:vertAlign w:val="baseline"/>
          <w:lang w:val="en-US" w:eastAsia="zh-CN" w:bidi="ar-SA"/>
        </w:rPr>
        <w:t>学院</w:t>
      </w:r>
      <w:r>
        <w:rPr>
          <w:rFonts w:hint="eastAsia" w:ascii="宋体" w:hAnsi="宋体" w:cs="宋体"/>
          <w:b w:val="0"/>
          <w:bCs w:val="0"/>
          <w:i w:val="0"/>
          <w:iCs w:val="0"/>
          <w:color w:val="000000"/>
          <w:spacing w:val="0"/>
          <w:w w:val="100"/>
          <w:kern w:val="2"/>
          <w:sz w:val="24"/>
          <w:szCs w:val="24"/>
          <w:vertAlign w:val="baseline"/>
          <w:lang w:val="en-US" w:eastAsia="zh-CN" w:bidi="ar-SA"/>
        </w:rPr>
        <w:t>（部）</w:t>
      </w:r>
      <w:r>
        <w:rPr>
          <w:rFonts w:hint="eastAsia" w:ascii="宋体" w:hAnsi="宋体" w:eastAsia="宋体" w:cs="宋体"/>
          <w:b w:val="0"/>
          <w:bCs w:val="0"/>
          <w:i w:val="0"/>
          <w:iCs w:val="0"/>
          <w:color w:val="000000"/>
          <w:spacing w:val="0"/>
          <w:w w:val="100"/>
          <w:kern w:val="2"/>
          <w:sz w:val="24"/>
          <w:szCs w:val="24"/>
          <w:vertAlign w:val="baseline"/>
          <w:lang w:val="en-US" w:eastAsia="zh-CN" w:bidi="ar-SA"/>
        </w:rPr>
        <w:t>不得直接</w:t>
      </w:r>
      <w:r>
        <w:rPr>
          <w:rFonts w:hint="eastAsia" w:ascii="宋体" w:hAnsi="宋体" w:cs="宋体"/>
          <w:b w:val="0"/>
          <w:bCs w:val="0"/>
          <w:i w:val="0"/>
          <w:iCs w:val="0"/>
          <w:color w:val="000000"/>
          <w:spacing w:val="0"/>
          <w:w w:val="100"/>
          <w:kern w:val="2"/>
          <w:sz w:val="24"/>
          <w:szCs w:val="24"/>
          <w:vertAlign w:val="baseline"/>
          <w:lang w:val="en-US" w:eastAsia="zh-CN" w:bidi="ar-SA"/>
        </w:rPr>
        <w:t>根据</w:t>
      </w:r>
      <w:r>
        <w:rPr>
          <w:rFonts w:hint="eastAsia" w:ascii="宋体" w:hAnsi="宋体" w:eastAsia="宋体" w:cs="宋体"/>
          <w:b w:val="0"/>
          <w:bCs w:val="0"/>
          <w:i w:val="0"/>
          <w:iCs w:val="0"/>
          <w:color w:val="000000"/>
          <w:spacing w:val="0"/>
          <w:w w:val="100"/>
          <w:kern w:val="2"/>
          <w:sz w:val="24"/>
          <w:szCs w:val="24"/>
          <w:vertAlign w:val="baseline"/>
          <w:lang w:val="en-US" w:eastAsia="zh-CN" w:bidi="ar-SA"/>
        </w:rPr>
        <w:t>学生评教分数高低进行</w:t>
      </w:r>
      <w:r>
        <w:rPr>
          <w:rFonts w:hint="eastAsia" w:ascii="宋体" w:hAnsi="宋体" w:cs="宋体"/>
          <w:b w:val="0"/>
          <w:bCs w:val="0"/>
          <w:i w:val="0"/>
          <w:iCs w:val="0"/>
          <w:color w:val="000000"/>
          <w:spacing w:val="0"/>
          <w:w w:val="100"/>
          <w:kern w:val="2"/>
          <w:sz w:val="24"/>
          <w:szCs w:val="24"/>
          <w:vertAlign w:val="baseline"/>
          <w:lang w:val="en-US" w:eastAsia="zh-CN" w:bidi="ar-SA"/>
        </w:rPr>
        <w:t>评选</w:t>
      </w:r>
      <w:r>
        <w:rPr>
          <w:rFonts w:hint="eastAsia" w:ascii="宋体" w:hAnsi="宋体" w:eastAsia="宋体" w:cs="宋体"/>
          <w:b w:val="0"/>
          <w:bCs w:val="0"/>
          <w:i w:val="0"/>
          <w:iCs w:val="0"/>
          <w:color w:val="000000"/>
          <w:spacing w:val="0"/>
          <w:w w:val="100"/>
          <w:kern w:val="2"/>
          <w:sz w:val="24"/>
          <w:szCs w:val="24"/>
          <w:vertAlign w:val="baseline"/>
          <w:lang w:val="en-US" w:eastAsia="zh-CN" w:bidi="ar-SA"/>
        </w:rPr>
        <w:t>推荐</w:t>
      </w:r>
      <w:r>
        <w:rPr>
          <w:rFonts w:hint="eastAsia" w:ascii="宋体" w:hAnsi="宋体" w:cs="宋体"/>
          <w:b w:val="0"/>
          <w:bCs w:val="0"/>
          <w:i w:val="0"/>
          <w:iCs w:val="0"/>
          <w:color w:val="000000"/>
          <w:spacing w:val="0"/>
          <w:w w:val="100"/>
          <w:kern w:val="2"/>
          <w:sz w:val="24"/>
          <w:szCs w:val="24"/>
          <w:vertAlign w:val="baseline"/>
          <w:lang w:val="en-US" w:eastAsia="zh-CN" w:bidi="ar-SA"/>
        </w:rPr>
        <w:t>。</w:t>
      </w:r>
    </w:p>
    <w:p w14:paraId="6AF6C423">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default" w:ascii="宋体" w:hAnsi="宋体" w:cs="宋体"/>
          <w:b w:val="0"/>
          <w:bCs w:val="0"/>
          <w:i w:val="0"/>
          <w:iCs w:val="0"/>
          <w:color w:val="000000"/>
          <w:spacing w:val="0"/>
          <w:w w:val="100"/>
          <w:kern w:val="2"/>
          <w:sz w:val="24"/>
          <w:szCs w:val="24"/>
          <w:vertAlign w:val="baseline"/>
          <w:lang w:val="en-US" w:eastAsia="zh-CN" w:bidi="ar-SA"/>
        </w:rPr>
      </w:pPr>
    </w:p>
    <w:sectPr>
      <w:pgSz w:w="11906" w:h="16838"/>
      <w:pgMar w:top="1157"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296498"/>
    <w:rsid w:val="001F1E21"/>
    <w:rsid w:val="005A0EFC"/>
    <w:rsid w:val="007810B8"/>
    <w:rsid w:val="00A11483"/>
    <w:rsid w:val="00D91632"/>
    <w:rsid w:val="00E452CF"/>
    <w:rsid w:val="01730582"/>
    <w:rsid w:val="023C5046"/>
    <w:rsid w:val="026C6ABA"/>
    <w:rsid w:val="03710AF1"/>
    <w:rsid w:val="03D615BB"/>
    <w:rsid w:val="04186B93"/>
    <w:rsid w:val="042A0462"/>
    <w:rsid w:val="05EF21A1"/>
    <w:rsid w:val="07231ED6"/>
    <w:rsid w:val="07702E6D"/>
    <w:rsid w:val="07AB5FF7"/>
    <w:rsid w:val="08E62672"/>
    <w:rsid w:val="09815806"/>
    <w:rsid w:val="09AF5ECF"/>
    <w:rsid w:val="0A2B3FEC"/>
    <w:rsid w:val="0A3728D7"/>
    <w:rsid w:val="0B130CE1"/>
    <w:rsid w:val="0B2621C1"/>
    <w:rsid w:val="0B325009"/>
    <w:rsid w:val="0BE75A4E"/>
    <w:rsid w:val="0CA179F0"/>
    <w:rsid w:val="0CC86958"/>
    <w:rsid w:val="0D02619E"/>
    <w:rsid w:val="0D3E4A30"/>
    <w:rsid w:val="0D5F7C0C"/>
    <w:rsid w:val="0D860EC5"/>
    <w:rsid w:val="0E092E6A"/>
    <w:rsid w:val="0E2A3A63"/>
    <w:rsid w:val="0E513DE6"/>
    <w:rsid w:val="0EEA79A9"/>
    <w:rsid w:val="0F704352"/>
    <w:rsid w:val="108E0A0F"/>
    <w:rsid w:val="11943BFC"/>
    <w:rsid w:val="11A25B9C"/>
    <w:rsid w:val="11A46535"/>
    <w:rsid w:val="11AB74C7"/>
    <w:rsid w:val="11B20C52"/>
    <w:rsid w:val="11E53C61"/>
    <w:rsid w:val="12204B37"/>
    <w:rsid w:val="122D2087"/>
    <w:rsid w:val="12D6577C"/>
    <w:rsid w:val="13103353"/>
    <w:rsid w:val="13C27714"/>
    <w:rsid w:val="150B35F6"/>
    <w:rsid w:val="15512064"/>
    <w:rsid w:val="158741A4"/>
    <w:rsid w:val="15C05CCE"/>
    <w:rsid w:val="15CF39AA"/>
    <w:rsid w:val="167805A2"/>
    <w:rsid w:val="17BA586E"/>
    <w:rsid w:val="17DD7339"/>
    <w:rsid w:val="19D600DE"/>
    <w:rsid w:val="19F142E2"/>
    <w:rsid w:val="19F67A24"/>
    <w:rsid w:val="1A472154"/>
    <w:rsid w:val="1A872550"/>
    <w:rsid w:val="1B1F4E7E"/>
    <w:rsid w:val="1BAE5D6E"/>
    <w:rsid w:val="1D1C1676"/>
    <w:rsid w:val="1D58430D"/>
    <w:rsid w:val="1D5B1FD4"/>
    <w:rsid w:val="1E557CD0"/>
    <w:rsid w:val="1EAE7F4E"/>
    <w:rsid w:val="1F497DB8"/>
    <w:rsid w:val="1F8567B4"/>
    <w:rsid w:val="20210D51"/>
    <w:rsid w:val="204E02BB"/>
    <w:rsid w:val="20BA7C64"/>
    <w:rsid w:val="20EF1296"/>
    <w:rsid w:val="21541968"/>
    <w:rsid w:val="2188552B"/>
    <w:rsid w:val="21D249F9"/>
    <w:rsid w:val="21D267A7"/>
    <w:rsid w:val="23D22D05"/>
    <w:rsid w:val="23FE2932"/>
    <w:rsid w:val="246C2EE2"/>
    <w:rsid w:val="24AC7783"/>
    <w:rsid w:val="24D700F2"/>
    <w:rsid w:val="2640201B"/>
    <w:rsid w:val="264F669A"/>
    <w:rsid w:val="27F8683B"/>
    <w:rsid w:val="287B7B98"/>
    <w:rsid w:val="287D51FA"/>
    <w:rsid w:val="28C122CB"/>
    <w:rsid w:val="295611E4"/>
    <w:rsid w:val="295723CC"/>
    <w:rsid w:val="29C96A4F"/>
    <w:rsid w:val="29CA4207"/>
    <w:rsid w:val="2A283F79"/>
    <w:rsid w:val="2A7D3B3A"/>
    <w:rsid w:val="2AD215C5"/>
    <w:rsid w:val="2B862E35"/>
    <w:rsid w:val="2C052EDC"/>
    <w:rsid w:val="2D2307FE"/>
    <w:rsid w:val="2D506D67"/>
    <w:rsid w:val="2D613547"/>
    <w:rsid w:val="2D9818DA"/>
    <w:rsid w:val="2E12472D"/>
    <w:rsid w:val="2F95654A"/>
    <w:rsid w:val="2F9A4728"/>
    <w:rsid w:val="2FD87182"/>
    <w:rsid w:val="309753BA"/>
    <w:rsid w:val="31C86712"/>
    <w:rsid w:val="320C360F"/>
    <w:rsid w:val="320C7AB3"/>
    <w:rsid w:val="32132FE6"/>
    <w:rsid w:val="33CD20D3"/>
    <w:rsid w:val="34833930"/>
    <w:rsid w:val="348A2F11"/>
    <w:rsid w:val="349C622C"/>
    <w:rsid w:val="35241716"/>
    <w:rsid w:val="358E06D5"/>
    <w:rsid w:val="3701395E"/>
    <w:rsid w:val="385F17B7"/>
    <w:rsid w:val="38C557BA"/>
    <w:rsid w:val="38F60882"/>
    <w:rsid w:val="3941202C"/>
    <w:rsid w:val="394B2EA0"/>
    <w:rsid w:val="3A3E1424"/>
    <w:rsid w:val="3A73756D"/>
    <w:rsid w:val="3BBD1E1E"/>
    <w:rsid w:val="3C281562"/>
    <w:rsid w:val="3C3D4158"/>
    <w:rsid w:val="3C6C2292"/>
    <w:rsid w:val="3C6E4D25"/>
    <w:rsid w:val="3CB46D7D"/>
    <w:rsid w:val="3CF07D26"/>
    <w:rsid w:val="3D9F7A2D"/>
    <w:rsid w:val="3DFC4E7F"/>
    <w:rsid w:val="3EE93B81"/>
    <w:rsid w:val="3F867DC6"/>
    <w:rsid w:val="3FF81676"/>
    <w:rsid w:val="415C523C"/>
    <w:rsid w:val="422E5CAE"/>
    <w:rsid w:val="42547AE2"/>
    <w:rsid w:val="43430C15"/>
    <w:rsid w:val="43B6162D"/>
    <w:rsid w:val="43BB74AB"/>
    <w:rsid w:val="44095C00"/>
    <w:rsid w:val="44E4666D"/>
    <w:rsid w:val="4645313C"/>
    <w:rsid w:val="46C6725C"/>
    <w:rsid w:val="48153853"/>
    <w:rsid w:val="48D05305"/>
    <w:rsid w:val="499C7517"/>
    <w:rsid w:val="4A123335"/>
    <w:rsid w:val="4A1730DC"/>
    <w:rsid w:val="4A642FD8"/>
    <w:rsid w:val="4C8C73CE"/>
    <w:rsid w:val="4D446D30"/>
    <w:rsid w:val="4DEA1480"/>
    <w:rsid w:val="4F8151E4"/>
    <w:rsid w:val="4FF652DA"/>
    <w:rsid w:val="50FE2A25"/>
    <w:rsid w:val="510156A8"/>
    <w:rsid w:val="51F779E0"/>
    <w:rsid w:val="52B8555D"/>
    <w:rsid w:val="546D7C59"/>
    <w:rsid w:val="54AB2D04"/>
    <w:rsid w:val="555C5E19"/>
    <w:rsid w:val="558070FC"/>
    <w:rsid w:val="5633275D"/>
    <w:rsid w:val="58E93DFA"/>
    <w:rsid w:val="599211F9"/>
    <w:rsid w:val="59C363FA"/>
    <w:rsid w:val="5A2C3C61"/>
    <w:rsid w:val="5A916D34"/>
    <w:rsid w:val="5AD25FDC"/>
    <w:rsid w:val="5AF820D3"/>
    <w:rsid w:val="5B1A1E2F"/>
    <w:rsid w:val="5B615ECA"/>
    <w:rsid w:val="5D6854BC"/>
    <w:rsid w:val="5D727ACA"/>
    <w:rsid w:val="5E185079"/>
    <w:rsid w:val="5E7F12E0"/>
    <w:rsid w:val="5F36141C"/>
    <w:rsid w:val="5F4664E6"/>
    <w:rsid w:val="60275DC6"/>
    <w:rsid w:val="6086255C"/>
    <w:rsid w:val="60B43136"/>
    <w:rsid w:val="60F5158E"/>
    <w:rsid w:val="615C785F"/>
    <w:rsid w:val="61690955"/>
    <w:rsid w:val="619743F4"/>
    <w:rsid w:val="61A55B52"/>
    <w:rsid w:val="61FB4A38"/>
    <w:rsid w:val="621757D8"/>
    <w:rsid w:val="62317C12"/>
    <w:rsid w:val="62631AFA"/>
    <w:rsid w:val="62A0377C"/>
    <w:rsid w:val="62A36DC8"/>
    <w:rsid w:val="638A6C51"/>
    <w:rsid w:val="64B41760"/>
    <w:rsid w:val="65017D1B"/>
    <w:rsid w:val="66C43203"/>
    <w:rsid w:val="670C696D"/>
    <w:rsid w:val="6727446C"/>
    <w:rsid w:val="67674868"/>
    <w:rsid w:val="678A1511"/>
    <w:rsid w:val="680E73DA"/>
    <w:rsid w:val="693250FE"/>
    <w:rsid w:val="6A7C5719"/>
    <w:rsid w:val="6AD379C8"/>
    <w:rsid w:val="6B434222"/>
    <w:rsid w:val="6B9F7803"/>
    <w:rsid w:val="6C167472"/>
    <w:rsid w:val="6D3733FE"/>
    <w:rsid w:val="6E274F1B"/>
    <w:rsid w:val="6E2D74A0"/>
    <w:rsid w:val="6F751E20"/>
    <w:rsid w:val="6F877E47"/>
    <w:rsid w:val="6FB55F37"/>
    <w:rsid w:val="71171E48"/>
    <w:rsid w:val="721A7636"/>
    <w:rsid w:val="72BB6993"/>
    <w:rsid w:val="73165394"/>
    <w:rsid w:val="732029DE"/>
    <w:rsid w:val="735B13FB"/>
    <w:rsid w:val="73EE611A"/>
    <w:rsid w:val="74660504"/>
    <w:rsid w:val="74C2766E"/>
    <w:rsid w:val="75093403"/>
    <w:rsid w:val="7544443B"/>
    <w:rsid w:val="757F1917"/>
    <w:rsid w:val="75E4177A"/>
    <w:rsid w:val="76B761B3"/>
    <w:rsid w:val="7724449C"/>
    <w:rsid w:val="7780005B"/>
    <w:rsid w:val="78B6564F"/>
    <w:rsid w:val="78E421BD"/>
    <w:rsid w:val="7A0236DC"/>
    <w:rsid w:val="7A296498"/>
    <w:rsid w:val="7B991CCF"/>
    <w:rsid w:val="7BC81F33"/>
    <w:rsid w:val="7C6B3173"/>
    <w:rsid w:val="7D2549C5"/>
    <w:rsid w:val="7D5A0000"/>
    <w:rsid w:val="7D85394A"/>
    <w:rsid w:val="7DDA033E"/>
    <w:rsid w:val="7E2409DA"/>
    <w:rsid w:val="7F4A0A0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635</Words>
  <Characters>639</Characters>
  <Lines>0</Lines>
  <Paragraphs>0</Paragraphs>
  <TotalTime>5</TotalTime>
  <ScaleCrop>false</ScaleCrop>
  <LinksUpToDate>false</LinksUpToDate>
  <CharactersWithSpaces>639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2026-06-09T03:45:00Z</dcterms:created>
  <dc:creator>欣飘尘</dc:creator>
  <cp:lastModifiedBy>欣飘尘</cp:lastModifiedBy>
  <dcterms:modified xsi:type="dcterms:W3CDTF">2026-10-19T03:22:53Z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D487B71E8C054244A28735C8CAC44620_13</vt:lpwstr>
  </property>
  <property fmtid="{D5CDD505-2E9C-101B-9397-08002B2CF9AE}" pid="4" name="KSOTemplateDocerSaveRecord">
    <vt:lpwstr>eyJoZGlkIjoiMDNlMjMxZThmZWMyZDMwYzU0ZGE1MDc4NTRhMmMxMzAiLCJ1c2VySWQiOiIzMzMwNjIzODMifQ==</vt:lpwstr>
  </property>
</Properties>
</file>