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55"/>
        <w:rPr>
          <w:rFonts w:hint="eastAsia" w:ascii="华文中宋" w:hAnsi="华文中宋" w:eastAsia="华文中宋" w:cs="华文中宋"/>
        </w:rPr>
      </w:pPr>
      <w:r>
        <w:rPr>
          <w:rFonts w:hint="eastAsia" w:ascii="黑体" w:eastAsia="黑体"/>
        </w:rPr>
        <w:t>附件 2</w:t>
      </w:r>
    </w:p>
    <w:p>
      <w:pPr>
        <w:pStyle w:val="3"/>
        <w:spacing w:before="4"/>
        <w:jc w:val="center"/>
        <w:rPr>
          <w:rFonts w:hint="eastAsia" w:ascii="华文中宋" w:hAnsi="华文中宋" w:eastAsia="华文中宋" w:cs="华文中宋"/>
          <w:b/>
          <w:bCs/>
          <w:sz w:val="32"/>
          <w:szCs w:val="32"/>
          <w:lang w:val="en-US" w:eastAsia="zh-CN"/>
        </w:rPr>
      </w:pPr>
      <w:r>
        <w:rPr>
          <w:rFonts w:hint="eastAsia" w:ascii="华文中宋" w:hAnsi="华文中宋" w:eastAsia="华文中宋" w:cs="华文中宋"/>
          <w:b/>
          <w:bCs/>
          <w:sz w:val="32"/>
          <w:szCs w:val="32"/>
        </w:rPr>
        <w:t>“选题意义” 和“预期研究成果”</w:t>
      </w:r>
      <w:r>
        <w:rPr>
          <w:rFonts w:hint="eastAsia" w:ascii="华文中宋" w:hAnsi="华文中宋" w:eastAsia="华文中宋" w:cs="华文中宋"/>
          <w:b/>
          <w:bCs/>
          <w:sz w:val="32"/>
          <w:szCs w:val="32"/>
          <w:lang w:val="en-US" w:eastAsia="zh-CN"/>
        </w:rPr>
        <w:t>样例（2例仅供参考</w:t>
      </w:r>
      <w:bookmarkStart w:id="0" w:name="_GoBack"/>
      <w:bookmarkEnd w:id="0"/>
      <w:r>
        <w:rPr>
          <w:rFonts w:hint="eastAsia" w:ascii="华文中宋" w:hAnsi="华文中宋" w:eastAsia="华文中宋" w:cs="华文中宋"/>
          <w:b/>
          <w:bCs/>
          <w:sz w:val="32"/>
          <w:szCs w:val="32"/>
          <w:lang w:val="en-US" w:eastAsia="zh-CN"/>
        </w:rPr>
        <w:t>）</w:t>
      </w:r>
    </w:p>
    <w:p>
      <w:pPr>
        <w:pStyle w:val="3"/>
        <w:spacing w:before="11"/>
        <w:rPr>
          <w:rFonts w:ascii="黑体"/>
          <w:sz w:val="32"/>
          <w:szCs w:val="32"/>
        </w:rPr>
      </w:pPr>
    </w:p>
    <w:p>
      <w:pPr>
        <w:pStyle w:val="3"/>
        <w:spacing w:before="55"/>
        <w:ind w:left="749"/>
        <w:rPr>
          <w:rFonts w:hint="eastAsia" w:ascii="黑体" w:eastAsia="黑体"/>
        </w:rPr>
      </w:pPr>
      <w:r>
        <w:rPr>
          <w:rFonts w:hint="eastAsia" w:ascii="黑体" w:eastAsia="黑体"/>
        </w:rPr>
        <w:t>样例一：</w:t>
      </w:r>
    </w:p>
    <w:p>
      <w:pPr>
        <w:pStyle w:val="3"/>
        <w:spacing w:before="6"/>
        <w:rPr>
          <w:rFonts w:ascii="黑体"/>
          <w:sz w:val="8"/>
        </w:rPr>
      </w:pPr>
    </w:p>
    <w:tbl>
      <w:tblPr>
        <w:tblStyle w:val="4"/>
        <w:tblW w:w="0" w:type="auto"/>
        <w:tblInd w:w="4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4"/>
        <w:gridCol w:w="79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1414" w:type="dxa"/>
          </w:tcPr>
          <w:p>
            <w:pPr>
              <w:pStyle w:val="8"/>
              <w:spacing w:before="3"/>
              <w:rPr>
                <w:rFonts w:ascii="黑体"/>
                <w:sz w:val="19"/>
              </w:rPr>
            </w:pPr>
          </w:p>
          <w:p>
            <w:pPr>
              <w:pStyle w:val="8"/>
              <w:ind w:left="173"/>
              <w:rPr>
                <w:b/>
                <w:sz w:val="24"/>
              </w:rPr>
            </w:pPr>
            <w:r>
              <w:rPr>
                <w:b/>
                <w:sz w:val="24"/>
              </w:rPr>
              <w:t>选题名称</w:t>
            </w:r>
          </w:p>
        </w:tc>
        <w:tc>
          <w:tcPr>
            <w:tcW w:w="7941" w:type="dxa"/>
          </w:tcPr>
          <w:p>
            <w:pPr>
              <w:pStyle w:val="8"/>
              <w:spacing w:before="3"/>
              <w:rPr>
                <w:rFonts w:ascii="黑体"/>
                <w:sz w:val="19"/>
              </w:rPr>
            </w:pPr>
          </w:p>
          <w:p>
            <w:pPr>
              <w:pStyle w:val="8"/>
              <w:ind w:left="107"/>
              <w:rPr>
                <w:b/>
                <w:sz w:val="24"/>
              </w:rPr>
            </w:pPr>
            <w:r>
              <w:rPr>
                <w:b/>
                <w:sz w:val="24"/>
              </w:rPr>
              <w:t>基于 SOLO 理论的学业水平考试人文地理试题解构与命题实践研究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2" w:hRule="atLeast"/>
        </w:trPr>
        <w:tc>
          <w:tcPr>
            <w:tcW w:w="1414" w:type="dxa"/>
          </w:tcPr>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spacing w:before="5"/>
              <w:rPr>
                <w:rFonts w:ascii="黑体"/>
                <w:sz w:val="31"/>
              </w:rPr>
            </w:pPr>
          </w:p>
          <w:p>
            <w:pPr>
              <w:pStyle w:val="8"/>
              <w:spacing w:line="312" w:lineRule="auto"/>
              <w:ind w:left="175" w:right="190" w:firstLine="132"/>
              <w:rPr>
                <w:sz w:val="24"/>
              </w:rPr>
            </w:pPr>
            <w:r>
              <w:rPr>
                <w:sz w:val="24"/>
              </w:rPr>
              <w:t>选题的目的意义</w:t>
            </w:r>
          </w:p>
        </w:tc>
        <w:tc>
          <w:tcPr>
            <w:tcW w:w="7941" w:type="dxa"/>
          </w:tcPr>
          <w:p>
            <w:pPr>
              <w:pStyle w:val="8"/>
              <w:spacing w:before="199" w:line="312" w:lineRule="auto"/>
              <w:ind w:left="107" w:right="95" w:firstLine="532"/>
              <w:jc w:val="both"/>
              <w:rPr>
                <w:sz w:val="24"/>
              </w:rPr>
            </w:pPr>
            <w:r>
              <w:rPr>
                <w:sz w:val="24"/>
              </w:rPr>
              <w:t>地理试题对能力的考查主要包括两个方面即能力结构的横向分布和纵向分布，能力结构的横向分布是指考试大纲规定的能力在试题中的分布，纵向能力结构是学生回答试题时所需要达到的能力层次。正确认识命题的能力立意，分析试题考查的能力层次，对试题能力层次分布情况进行研究，可以为试题的命制提供反馈与参考。比格斯的 SOLO 分类理论可以反映出学生在解决问题时思维操作方法由简单到复杂、能力水平由低到高的过程，为试题命制过程中反映能力层次提供了很好的视角。人文地理学试题所涉及的情景素材非常丰富，在试题命制过程中如何与课程标准取得一致性， 同时又能反映地理核心素养，以及输出途径与方法是命制高质量试题需要探讨的研究。</w:t>
            </w:r>
          </w:p>
          <w:p>
            <w:pPr>
              <w:pStyle w:val="8"/>
              <w:spacing w:before="5" w:line="312" w:lineRule="auto"/>
              <w:ind w:left="107" w:right="95" w:firstLine="532"/>
              <w:jc w:val="both"/>
              <w:rPr>
                <w:sz w:val="24"/>
              </w:rPr>
            </w:pPr>
            <w:r>
              <w:rPr>
                <w:sz w:val="24"/>
              </w:rPr>
              <w:t>近年来的人文地理类试题素材新颖多样、考查灵活，但也存在一些矛盾:一、试题的命制主观性较强，试题的评价目标很难有效反映学生的思维结构。二、教师评分受主观影响大，特别是在情景素材的开放性的试题中，单纯以“知识点”为评判标准，这种缺少对于学生掌握知识质性程度的评价体系容易使学生采取机械式学习。三、人文地理学试题情境较为复杂、开放， 要求学生有很强的材料驾驭与处理能力， 但也很难对学生思维水平作出精确考查，影响了对学生思维水平评价的质量。</w:t>
            </w:r>
          </w:p>
          <w:p>
            <w:pPr>
              <w:pStyle w:val="8"/>
              <w:spacing w:before="1" w:line="312" w:lineRule="auto"/>
              <w:ind w:left="107" w:right="95" w:firstLine="532"/>
              <w:jc w:val="both"/>
              <w:rPr>
                <w:sz w:val="24"/>
              </w:rPr>
            </w:pPr>
            <w:r>
              <w:rPr>
                <w:sz w:val="24"/>
              </w:rPr>
              <w:t>因此，从 SOLO 层次划分标准角度研究高中地理学业水平考试中人文地理情景素材选择与试题命制，有利于提高人文地理试题命制的科学性与规范性，有利于落实课程标准，提高试题的信度，具有很强的实践意义。</w:t>
            </w:r>
          </w:p>
        </w:tc>
      </w:tr>
    </w:tbl>
    <w:p>
      <w:pPr>
        <w:spacing w:after="0" w:line="312" w:lineRule="auto"/>
        <w:jc w:val="both"/>
        <w:rPr>
          <w:sz w:val="24"/>
        </w:rPr>
        <w:sectPr>
          <w:footerReference r:id="rId3" w:type="default"/>
          <w:footerReference r:id="rId4" w:type="even"/>
          <w:pgSz w:w="11910" w:h="16840"/>
          <w:pgMar w:top="1580" w:right="820" w:bottom="2020" w:left="840" w:header="0" w:footer="1823" w:gutter="0"/>
        </w:sectPr>
      </w:pPr>
    </w:p>
    <w:p>
      <w:pPr>
        <w:pStyle w:val="3"/>
        <w:rPr>
          <w:rFonts w:ascii="Times New Roman"/>
          <w:sz w:val="20"/>
        </w:rPr>
      </w:pPr>
    </w:p>
    <w:p>
      <w:pPr>
        <w:pStyle w:val="3"/>
        <w:spacing w:before="5"/>
        <w:rPr>
          <w:rFonts w:ascii="Times New Roman"/>
          <w:sz w:val="23"/>
        </w:rPr>
      </w:pPr>
    </w:p>
    <w:tbl>
      <w:tblPr>
        <w:tblStyle w:val="4"/>
        <w:tblW w:w="0" w:type="auto"/>
        <w:tblInd w:w="4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4"/>
        <w:gridCol w:w="79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1" w:hRule="atLeast"/>
        </w:trPr>
        <w:tc>
          <w:tcPr>
            <w:tcW w:w="1414" w:type="dxa"/>
          </w:tcPr>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rPr>
                <w:rFonts w:ascii="Times New Roman"/>
                <w:sz w:val="24"/>
              </w:rPr>
            </w:pPr>
          </w:p>
          <w:p>
            <w:pPr>
              <w:pStyle w:val="8"/>
              <w:spacing w:before="4"/>
              <w:rPr>
                <w:rFonts w:ascii="Times New Roman"/>
                <w:sz w:val="19"/>
              </w:rPr>
            </w:pPr>
          </w:p>
          <w:p>
            <w:pPr>
              <w:pStyle w:val="8"/>
              <w:spacing w:line="312" w:lineRule="auto"/>
              <w:ind w:left="108" w:right="-15" w:hanging="108"/>
              <w:jc w:val="center"/>
              <w:rPr>
                <w:sz w:val="24"/>
              </w:rPr>
            </w:pPr>
            <w:r>
              <w:rPr>
                <w:spacing w:val="24"/>
                <w:sz w:val="24"/>
              </w:rPr>
              <w:t xml:space="preserve">预期研究 </w:t>
            </w:r>
            <w:r>
              <w:rPr>
                <w:spacing w:val="-42"/>
                <w:sz w:val="24"/>
              </w:rPr>
              <w:t>成果</w:t>
            </w:r>
            <w:r>
              <w:rPr>
                <w:spacing w:val="26"/>
                <w:sz w:val="24"/>
              </w:rPr>
              <w:t>（具有</w:t>
            </w:r>
            <w:r>
              <w:rPr>
                <w:spacing w:val="18"/>
                <w:sz w:val="24"/>
              </w:rPr>
              <w:t xml:space="preserve">应用价值， 可操作性 </w:t>
            </w:r>
            <w:r>
              <w:rPr>
                <w:spacing w:val="26"/>
                <w:sz w:val="24"/>
              </w:rPr>
              <w:t>强</w:t>
            </w:r>
            <w:r>
              <w:rPr>
                <w:sz w:val="24"/>
              </w:rPr>
              <w:t>）</w:t>
            </w:r>
          </w:p>
        </w:tc>
        <w:tc>
          <w:tcPr>
            <w:tcW w:w="7941" w:type="dxa"/>
          </w:tcPr>
          <w:p>
            <w:pPr>
              <w:pStyle w:val="8"/>
              <w:spacing w:before="79"/>
              <w:ind w:left="107"/>
              <w:rPr>
                <w:sz w:val="24"/>
              </w:rPr>
            </w:pPr>
            <w:r>
              <w:rPr>
                <w:spacing w:val="22"/>
                <w:sz w:val="24"/>
              </w:rPr>
              <w:t>本课题拟完成以下几项任务：</w:t>
            </w:r>
          </w:p>
          <w:p>
            <w:pPr>
              <w:pStyle w:val="8"/>
              <w:numPr>
                <w:ilvl w:val="0"/>
                <w:numId w:val="1"/>
              </w:numPr>
              <w:tabs>
                <w:tab w:val="left" w:pos="907"/>
              </w:tabs>
              <w:spacing w:before="93" w:after="0" w:line="312" w:lineRule="auto"/>
              <w:ind w:left="107" w:right="94" w:firstLine="532"/>
              <w:jc w:val="both"/>
              <w:rPr>
                <w:sz w:val="24"/>
              </w:rPr>
            </w:pPr>
            <w:r>
              <w:rPr>
                <w:spacing w:val="-1"/>
                <w:sz w:val="24"/>
              </w:rPr>
              <w:t xml:space="preserve">梳理 </w:t>
            </w:r>
            <w:r>
              <w:rPr>
                <w:spacing w:val="9"/>
                <w:sz w:val="24"/>
              </w:rPr>
              <w:t>SOLO</w:t>
            </w:r>
            <w:r>
              <w:rPr>
                <w:spacing w:val="11"/>
                <w:sz w:val="24"/>
              </w:rPr>
              <w:t xml:space="preserve"> 分类理论，解构近五年高考与学业水平试题中人文</w:t>
            </w:r>
            <w:r>
              <w:rPr>
                <w:spacing w:val="18"/>
                <w:sz w:val="24"/>
              </w:rPr>
              <w:t>地理学情景素材与核心地理素养一致性；</w:t>
            </w:r>
          </w:p>
          <w:p>
            <w:pPr>
              <w:pStyle w:val="8"/>
              <w:numPr>
                <w:ilvl w:val="0"/>
                <w:numId w:val="1"/>
              </w:numPr>
              <w:tabs>
                <w:tab w:val="left" w:pos="907"/>
              </w:tabs>
              <w:spacing w:before="0" w:after="0" w:line="312" w:lineRule="auto"/>
              <w:ind w:left="107" w:right="95" w:firstLine="532"/>
              <w:jc w:val="both"/>
              <w:rPr>
                <w:sz w:val="24"/>
              </w:rPr>
            </w:pPr>
            <w:r>
              <w:rPr>
                <w:spacing w:val="21"/>
                <w:sz w:val="24"/>
              </w:rPr>
              <w:t xml:space="preserve">运用 </w:t>
            </w:r>
            <w:r>
              <w:rPr>
                <w:spacing w:val="9"/>
                <w:sz w:val="24"/>
              </w:rPr>
              <w:t>SOLO</w:t>
            </w:r>
            <w:r>
              <w:rPr>
                <w:spacing w:val="26"/>
                <w:sz w:val="24"/>
              </w:rPr>
              <w:t xml:space="preserve"> 原理解析课标中人文地理部分的地理核心素养表</w:t>
            </w:r>
            <w:r>
              <w:rPr>
                <w:spacing w:val="14"/>
                <w:sz w:val="24"/>
              </w:rPr>
              <w:t xml:space="preserve">现及能力结构层次，制定人文地理学试题的 </w:t>
            </w:r>
            <w:r>
              <w:rPr>
                <w:spacing w:val="9"/>
                <w:sz w:val="24"/>
              </w:rPr>
              <w:t>SOLO</w:t>
            </w:r>
            <w:r>
              <w:rPr>
                <w:spacing w:val="3"/>
                <w:sz w:val="24"/>
              </w:rPr>
              <w:t xml:space="preserve"> 层次划分标准，落</w:t>
            </w:r>
            <w:r>
              <w:rPr>
                <w:spacing w:val="20"/>
                <w:sz w:val="24"/>
              </w:rPr>
              <w:t>实课程标准；</w:t>
            </w:r>
          </w:p>
          <w:p>
            <w:pPr>
              <w:pStyle w:val="8"/>
              <w:numPr>
                <w:ilvl w:val="0"/>
                <w:numId w:val="1"/>
              </w:numPr>
              <w:tabs>
                <w:tab w:val="left" w:pos="907"/>
              </w:tabs>
              <w:spacing w:before="0" w:after="0" w:line="312" w:lineRule="auto"/>
              <w:ind w:left="107" w:right="-29" w:firstLine="532"/>
              <w:jc w:val="left"/>
              <w:rPr>
                <w:sz w:val="24"/>
              </w:rPr>
            </w:pPr>
            <w:r>
              <w:rPr>
                <w:spacing w:val="-1"/>
                <w:sz w:val="24"/>
              </w:rPr>
              <w:t xml:space="preserve">结合 </w:t>
            </w:r>
            <w:r>
              <w:rPr>
                <w:spacing w:val="9"/>
                <w:sz w:val="24"/>
              </w:rPr>
              <w:t>SOLO</w:t>
            </w:r>
            <w:r>
              <w:rPr>
                <w:spacing w:val="16"/>
                <w:sz w:val="24"/>
              </w:rPr>
              <w:t xml:space="preserve"> 层次划分标准对人文地理情景素材进行梳理分析， </w:t>
            </w:r>
            <w:r>
              <w:rPr>
                <w:spacing w:val="17"/>
                <w:sz w:val="24"/>
              </w:rPr>
              <w:t>总结情景素材的资料来源与考查方法， 整合与挖掘情景素材选择与</w:t>
            </w:r>
            <w:r>
              <w:rPr>
                <w:spacing w:val="8"/>
                <w:sz w:val="24"/>
              </w:rPr>
              <w:t xml:space="preserve">命题过程中 </w:t>
            </w:r>
            <w:r>
              <w:rPr>
                <w:spacing w:val="9"/>
                <w:sz w:val="24"/>
              </w:rPr>
              <w:t>SOLO</w:t>
            </w:r>
            <w:r>
              <w:rPr>
                <w:spacing w:val="13"/>
                <w:sz w:val="24"/>
              </w:rPr>
              <w:t xml:space="preserve"> 层次的实施途径。</w:t>
            </w:r>
          </w:p>
          <w:p>
            <w:pPr>
              <w:pStyle w:val="8"/>
              <w:spacing w:before="2"/>
              <w:ind w:left="107"/>
              <w:rPr>
                <w:sz w:val="24"/>
              </w:rPr>
            </w:pPr>
            <w:r>
              <w:rPr>
                <w:sz w:val="24"/>
              </w:rPr>
              <w:t>预期研究成果：</w:t>
            </w:r>
          </w:p>
          <w:p>
            <w:pPr>
              <w:pStyle w:val="8"/>
              <w:numPr>
                <w:ilvl w:val="0"/>
                <w:numId w:val="2"/>
              </w:numPr>
              <w:tabs>
                <w:tab w:val="left" w:pos="907"/>
              </w:tabs>
              <w:spacing w:before="93" w:after="0" w:line="312" w:lineRule="auto"/>
              <w:ind w:left="107" w:right="122" w:firstLine="532"/>
              <w:jc w:val="left"/>
              <w:rPr>
                <w:sz w:val="24"/>
              </w:rPr>
            </w:pPr>
            <w:r>
              <w:rPr>
                <w:spacing w:val="13"/>
                <w:sz w:val="24"/>
              </w:rPr>
              <w:t xml:space="preserve">期刊发表论文 </w:t>
            </w:r>
            <w:r>
              <w:rPr>
                <w:spacing w:val="8"/>
                <w:sz w:val="24"/>
              </w:rPr>
              <w:t>1-2</w:t>
            </w:r>
            <w:r>
              <w:rPr>
                <w:spacing w:val="9"/>
                <w:sz w:val="24"/>
              </w:rPr>
              <w:t xml:space="preserve"> 篇： 近五年人文地理试题情景素材特征解</w:t>
            </w:r>
            <w:r>
              <w:rPr>
                <w:spacing w:val="3"/>
                <w:sz w:val="24"/>
              </w:rPr>
              <w:t xml:space="preserve">析； 人文地理学试题 </w:t>
            </w:r>
            <w:r>
              <w:rPr>
                <w:spacing w:val="9"/>
                <w:sz w:val="24"/>
              </w:rPr>
              <w:t>SOLO</w:t>
            </w:r>
            <w:r>
              <w:rPr>
                <w:spacing w:val="15"/>
                <w:sz w:val="24"/>
              </w:rPr>
              <w:t xml:space="preserve"> 层次划分标准及特征分析；</w:t>
            </w:r>
          </w:p>
          <w:p>
            <w:pPr>
              <w:pStyle w:val="8"/>
              <w:numPr>
                <w:ilvl w:val="0"/>
                <w:numId w:val="2"/>
              </w:numPr>
              <w:tabs>
                <w:tab w:val="left" w:pos="907"/>
              </w:tabs>
              <w:spacing w:before="0" w:after="0" w:line="307" w:lineRule="exact"/>
              <w:ind w:left="907" w:right="0" w:hanging="267"/>
              <w:jc w:val="left"/>
              <w:rPr>
                <w:sz w:val="24"/>
              </w:rPr>
            </w:pPr>
            <w:r>
              <w:rPr>
                <w:spacing w:val="26"/>
                <w:sz w:val="24"/>
              </w:rPr>
              <w:t>基于地理核心素养考查的高中地理学业水平考试人文地理试</w:t>
            </w:r>
          </w:p>
          <w:p>
            <w:pPr>
              <w:pStyle w:val="8"/>
              <w:spacing w:before="93" w:line="301" w:lineRule="exact"/>
              <w:ind w:left="107"/>
              <w:rPr>
                <w:sz w:val="24"/>
              </w:rPr>
            </w:pPr>
            <w:r>
              <w:rPr>
                <w:sz w:val="24"/>
              </w:rPr>
              <w:t>题 SOLO 层次标准划分、情景素材整合及命题方法汇编。</w:t>
            </w:r>
          </w:p>
        </w:tc>
      </w:tr>
    </w:tbl>
    <w:p>
      <w:pPr>
        <w:spacing w:after="0" w:line="301" w:lineRule="exact"/>
        <w:rPr>
          <w:sz w:val="24"/>
        </w:rPr>
        <w:sectPr>
          <w:pgSz w:w="11910" w:h="16840"/>
          <w:pgMar w:top="1580" w:right="820" w:bottom="1940" w:left="840" w:header="0" w:footer="1823" w:gutter="0"/>
        </w:sectPr>
      </w:pPr>
    </w:p>
    <w:p>
      <w:pPr>
        <w:pStyle w:val="3"/>
        <w:rPr>
          <w:rFonts w:ascii="Times New Roman"/>
          <w:sz w:val="20"/>
        </w:rPr>
      </w:pPr>
    </w:p>
    <w:p>
      <w:pPr>
        <w:pStyle w:val="3"/>
        <w:spacing w:before="9"/>
        <w:rPr>
          <w:rFonts w:ascii="Times New Roman"/>
          <w:sz w:val="27"/>
        </w:rPr>
      </w:pPr>
    </w:p>
    <w:p>
      <w:pPr>
        <w:pStyle w:val="3"/>
        <w:spacing w:before="55"/>
        <w:ind w:left="749"/>
        <w:rPr>
          <w:rFonts w:hint="eastAsia" w:ascii="黑体" w:eastAsia="黑体"/>
        </w:rPr>
      </w:pPr>
      <w:r>
        <w:rPr>
          <w:rFonts w:hint="eastAsia" w:ascii="黑体" w:eastAsia="黑体"/>
        </w:rPr>
        <w:t>样例二：</w:t>
      </w:r>
    </w:p>
    <w:p>
      <w:pPr>
        <w:pStyle w:val="3"/>
        <w:spacing w:before="6"/>
        <w:rPr>
          <w:rFonts w:ascii="黑体"/>
          <w:sz w:val="8"/>
        </w:rPr>
      </w:pPr>
    </w:p>
    <w:tbl>
      <w:tblPr>
        <w:tblStyle w:val="4"/>
        <w:tblW w:w="0" w:type="auto"/>
        <w:tblInd w:w="4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71"/>
        <w:gridCol w:w="79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371" w:type="dxa"/>
          </w:tcPr>
          <w:p>
            <w:pPr>
              <w:pStyle w:val="8"/>
              <w:spacing w:before="136"/>
              <w:ind w:left="151"/>
              <w:rPr>
                <w:b/>
                <w:sz w:val="24"/>
              </w:rPr>
            </w:pPr>
            <w:r>
              <w:rPr>
                <w:b/>
                <w:sz w:val="24"/>
              </w:rPr>
              <w:t>选题名称</w:t>
            </w:r>
          </w:p>
        </w:tc>
        <w:tc>
          <w:tcPr>
            <w:tcW w:w="7941" w:type="dxa"/>
          </w:tcPr>
          <w:p>
            <w:pPr>
              <w:pStyle w:val="8"/>
              <w:spacing w:before="136"/>
              <w:ind w:left="1525" w:right="1546"/>
              <w:jc w:val="center"/>
              <w:rPr>
                <w:b/>
                <w:sz w:val="24"/>
              </w:rPr>
            </w:pPr>
            <w:r>
              <w:rPr>
                <w:b/>
                <w:sz w:val="24"/>
              </w:rPr>
              <w:t>基于核心胜任力的高校教师资格考试面试研究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9" w:hRule="atLeast"/>
        </w:trPr>
        <w:tc>
          <w:tcPr>
            <w:tcW w:w="1371" w:type="dxa"/>
          </w:tcPr>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4"/>
              </w:rPr>
            </w:pPr>
          </w:p>
          <w:p>
            <w:pPr>
              <w:pStyle w:val="8"/>
              <w:rPr>
                <w:rFonts w:ascii="黑体"/>
                <w:sz w:val="29"/>
              </w:rPr>
            </w:pPr>
          </w:p>
          <w:p>
            <w:pPr>
              <w:pStyle w:val="8"/>
              <w:spacing w:line="235" w:lineRule="auto"/>
              <w:ind w:left="153" w:right="169" w:firstLine="132"/>
              <w:rPr>
                <w:sz w:val="24"/>
              </w:rPr>
            </w:pPr>
            <w:r>
              <w:rPr>
                <w:sz w:val="24"/>
              </w:rPr>
              <w:t>选题的目的意义</w:t>
            </w:r>
          </w:p>
        </w:tc>
        <w:tc>
          <w:tcPr>
            <w:tcW w:w="7941" w:type="dxa"/>
          </w:tcPr>
          <w:p>
            <w:pPr>
              <w:pStyle w:val="8"/>
              <w:spacing w:before="4"/>
              <w:rPr>
                <w:rFonts w:ascii="黑体"/>
                <w:sz w:val="18"/>
              </w:rPr>
            </w:pPr>
          </w:p>
          <w:p>
            <w:pPr>
              <w:pStyle w:val="8"/>
              <w:spacing w:line="266" w:lineRule="auto"/>
              <w:ind w:left="107" w:right="-15" w:firstLine="532"/>
              <w:rPr>
                <w:sz w:val="24"/>
              </w:rPr>
            </w:pPr>
            <w:r>
              <w:rPr>
                <w:spacing w:val="14"/>
                <w:sz w:val="24"/>
              </w:rPr>
              <w:t xml:space="preserve">高校教师资格考试经过多年实践，已经积累了比较丰富的经验， </w:t>
            </w:r>
            <w:r>
              <w:rPr>
                <w:spacing w:val="26"/>
                <w:sz w:val="24"/>
              </w:rPr>
              <w:t>同时也暴露了一些问题。其中一个主要的问题是在面试环节，与中小学相比，高校教师资格的申请人学科背景复杂，不少人所学的专</w:t>
            </w:r>
            <w:r>
              <w:rPr>
                <w:spacing w:val="13"/>
                <w:sz w:val="24"/>
              </w:rPr>
              <w:t xml:space="preserve">业为小众专业，招生规模小，高校招录数量少。以 </w:t>
            </w:r>
            <w:r>
              <w:rPr>
                <w:spacing w:val="9"/>
                <w:sz w:val="24"/>
              </w:rPr>
              <w:t>2019</w:t>
            </w:r>
            <w:r>
              <w:rPr>
                <w:spacing w:val="5"/>
                <w:sz w:val="24"/>
              </w:rPr>
              <w:t xml:space="preserve"> 年为例，当</w:t>
            </w:r>
          </w:p>
          <w:p>
            <w:pPr>
              <w:pStyle w:val="8"/>
              <w:spacing w:line="303" w:lineRule="exact"/>
              <w:ind w:left="107"/>
              <w:jc w:val="both"/>
              <w:rPr>
                <w:sz w:val="24"/>
              </w:rPr>
            </w:pPr>
            <w:r>
              <w:rPr>
                <w:spacing w:val="19"/>
                <w:sz w:val="24"/>
              </w:rPr>
              <w:t xml:space="preserve">年我区高校教师资格教学技能报考人数为 </w:t>
            </w:r>
            <w:r>
              <w:rPr>
                <w:spacing w:val="9"/>
                <w:sz w:val="24"/>
              </w:rPr>
              <w:t>6263</w:t>
            </w:r>
            <w:r>
              <w:rPr>
                <w:spacing w:val="1"/>
                <w:sz w:val="24"/>
              </w:rPr>
              <w:t xml:space="preserve"> 人，报考科目总数为</w:t>
            </w:r>
          </w:p>
          <w:p>
            <w:pPr>
              <w:pStyle w:val="8"/>
              <w:spacing w:before="33"/>
              <w:ind w:left="107"/>
              <w:jc w:val="both"/>
              <w:rPr>
                <w:sz w:val="24"/>
              </w:rPr>
            </w:pPr>
            <w:r>
              <w:rPr>
                <w:spacing w:val="8"/>
                <w:sz w:val="24"/>
              </w:rPr>
              <w:t>515</w:t>
            </w:r>
            <w:r>
              <w:rPr>
                <w:spacing w:val="5"/>
                <w:sz w:val="24"/>
              </w:rPr>
              <w:t xml:space="preserve"> 科，其中报考人数在 </w:t>
            </w:r>
            <w:r>
              <w:rPr>
                <w:spacing w:val="6"/>
                <w:sz w:val="24"/>
              </w:rPr>
              <w:t>10</w:t>
            </w:r>
            <w:r>
              <w:rPr>
                <w:spacing w:val="7"/>
                <w:sz w:val="24"/>
              </w:rPr>
              <w:t xml:space="preserve"> 人以下的科目为 </w:t>
            </w:r>
            <w:r>
              <w:rPr>
                <w:spacing w:val="6"/>
                <w:sz w:val="24"/>
              </w:rPr>
              <w:t>52</w:t>
            </w:r>
            <w:r>
              <w:rPr>
                <w:spacing w:val="-13"/>
                <w:sz w:val="24"/>
              </w:rPr>
              <w:t xml:space="preserve"> 科，占 </w:t>
            </w:r>
            <w:r>
              <w:rPr>
                <w:spacing w:val="8"/>
                <w:sz w:val="24"/>
              </w:rPr>
              <w:t>10.1</w:t>
            </w:r>
            <w:r>
              <w:rPr>
                <w:spacing w:val="10"/>
                <w:sz w:val="24"/>
              </w:rPr>
              <w:t>%，报考</w:t>
            </w:r>
          </w:p>
          <w:p>
            <w:pPr>
              <w:pStyle w:val="8"/>
              <w:spacing w:before="32" w:line="266" w:lineRule="auto"/>
              <w:ind w:left="107" w:right="95"/>
              <w:jc w:val="both"/>
              <w:rPr>
                <w:sz w:val="24"/>
              </w:rPr>
            </w:pPr>
            <w:r>
              <w:rPr>
                <w:sz w:val="24"/>
              </w:rPr>
              <w:t>人数大于 10 人少于 20 人的有 68 科，占 13.2%。由于在职的相关科目教师数量有限，而且部分考生报考学科为交叉学科、边缘学科， 在面试时难以完全按照专业要求配齐 3 名对应学科的面试考官。在此情况下，考官反映难以对具体学科知识的科学性作出精确判断， 影响了面试质量。这实际上涉及在教师资格考试面试中，对本体性知识如何处理的问题。教师的教育教学能力，无论所学的是什么专业，都具有一些共同的基本方面，包括计划的能力、信息处理的能力、沟通表达的能力、评价的能力以及教师的职业认知、心理素质等，这些淡化专业背景的基本能力，即通常所说的的核心胜任力。本研究通过对广西高校教师资格考试面试的现状进行调查，借鉴教师胜任力的已有研究成果，探讨基于核心胜任力的按照专业大类组织高校教师资格考试面试的模式，为解决面试中小众专业考官配备困难的问题提出建议， 具有现实意义。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2" w:hRule="atLeast"/>
        </w:trPr>
        <w:tc>
          <w:tcPr>
            <w:tcW w:w="1371" w:type="dxa"/>
          </w:tcPr>
          <w:p>
            <w:pPr>
              <w:pStyle w:val="8"/>
              <w:rPr>
                <w:rFonts w:ascii="黑体"/>
                <w:sz w:val="24"/>
              </w:rPr>
            </w:pPr>
          </w:p>
          <w:p>
            <w:pPr>
              <w:pStyle w:val="8"/>
              <w:rPr>
                <w:rFonts w:ascii="黑体"/>
                <w:sz w:val="24"/>
              </w:rPr>
            </w:pPr>
          </w:p>
          <w:p>
            <w:pPr>
              <w:pStyle w:val="8"/>
              <w:spacing w:before="201" w:line="235" w:lineRule="auto"/>
              <w:ind w:left="153" w:right="144"/>
              <w:jc w:val="both"/>
              <w:rPr>
                <w:sz w:val="24"/>
              </w:rPr>
            </w:pPr>
            <w:r>
              <w:rPr>
                <w:spacing w:val="20"/>
                <w:sz w:val="24"/>
              </w:rPr>
              <w:t>预期研究</w:t>
            </w:r>
            <w:r>
              <w:rPr>
                <w:spacing w:val="26"/>
                <w:sz w:val="24"/>
              </w:rPr>
              <w:t>成果</w:t>
            </w:r>
            <w:r>
              <w:rPr>
                <w:spacing w:val="24"/>
                <w:sz w:val="24"/>
              </w:rPr>
              <w:t>（</w:t>
            </w:r>
            <w:r>
              <w:rPr>
                <w:spacing w:val="8"/>
                <w:sz w:val="24"/>
              </w:rPr>
              <w:t>具</w:t>
            </w:r>
            <w:r>
              <w:rPr>
                <w:spacing w:val="18"/>
                <w:sz w:val="24"/>
              </w:rPr>
              <w:t>有应用价</w:t>
            </w:r>
            <w:r>
              <w:rPr>
                <w:spacing w:val="-10"/>
                <w:sz w:val="24"/>
              </w:rPr>
              <w:t>值， 可操</w:t>
            </w:r>
            <w:r>
              <w:rPr>
                <w:spacing w:val="25"/>
                <w:sz w:val="24"/>
              </w:rPr>
              <w:t>作性强</w:t>
            </w:r>
            <w:r>
              <w:rPr>
                <w:sz w:val="24"/>
              </w:rPr>
              <w:t>）</w:t>
            </w:r>
          </w:p>
        </w:tc>
        <w:tc>
          <w:tcPr>
            <w:tcW w:w="7941" w:type="dxa"/>
          </w:tcPr>
          <w:p>
            <w:pPr>
              <w:pStyle w:val="8"/>
              <w:numPr>
                <w:ilvl w:val="0"/>
                <w:numId w:val="3"/>
              </w:numPr>
              <w:tabs>
                <w:tab w:val="left" w:pos="907"/>
              </w:tabs>
              <w:spacing w:before="216" w:after="0" w:line="235" w:lineRule="auto"/>
              <w:ind w:left="107" w:right="95" w:firstLine="532"/>
              <w:jc w:val="both"/>
              <w:rPr>
                <w:sz w:val="24"/>
              </w:rPr>
            </w:pPr>
            <w:r>
              <w:rPr>
                <w:spacing w:val="26"/>
                <w:sz w:val="24"/>
              </w:rPr>
              <w:t>对广西高校教师资格考试面试的现状进行访谈调查，了解面试中存在的主要问题及其原因，重点了解申请人专业背景与面试考</w:t>
            </w:r>
            <w:r>
              <w:rPr>
                <w:spacing w:val="20"/>
                <w:sz w:val="24"/>
              </w:rPr>
              <w:t>官匹配问题；</w:t>
            </w:r>
          </w:p>
          <w:p>
            <w:pPr>
              <w:pStyle w:val="8"/>
              <w:numPr>
                <w:ilvl w:val="0"/>
                <w:numId w:val="3"/>
              </w:numPr>
              <w:tabs>
                <w:tab w:val="left" w:pos="907"/>
              </w:tabs>
              <w:spacing w:before="0" w:after="0" w:line="235" w:lineRule="auto"/>
              <w:ind w:left="107" w:right="95" w:firstLine="532"/>
              <w:jc w:val="left"/>
              <w:rPr>
                <w:sz w:val="24"/>
              </w:rPr>
            </w:pPr>
            <w:r>
              <w:rPr>
                <w:spacing w:val="26"/>
                <w:sz w:val="24"/>
              </w:rPr>
              <w:t>梳理国内外关于教师核心胜任力的研究成果，借鉴各地成功</w:t>
            </w:r>
            <w:r>
              <w:rPr>
                <w:spacing w:val="11"/>
                <w:sz w:val="24"/>
              </w:rPr>
              <w:t>经验， 提出符合广西区情的高校教师核心胜任力指标体系；</w:t>
            </w:r>
          </w:p>
          <w:p>
            <w:pPr>
              <w:pStyle w:val="8"/>
              <w:numPr>
                <w:ilvl w:val="0"/>
                <w:numId w:val="3"/>
              </w:numPr>
              <w:tabs>
                <w:tab w:val="left" w:pos="907"/>
              </w:tabs>
              <w:spacing w:before="0" w:after="0" w:line="235" w:lineRule="auto"/>
              <w:ind w:left="107" w:right="95" w:firstLine="532"/>
              <w:jc w:val="both"/>
              <w:rPr>
                <w:sz w:val="24"/>
              </w:rPr>
            </w:pPr>
            <w:r>
              <w:rPr>
                <w:spacing w:val="26"/>
                <w:sz w:val="24"/>
              </w:rPr>
              <w:t>探索基于核心胜任力的高校教师资格考试面试模式，提出专业大类划分的原则、面试方案制定原则、面试考官的操作指南等指</w:t>
            </w:r>
            <w:r>
              <w:rPr>
                <w:spacing w:val="20"/>
                <w:sz w:val="24"/>
              </w:rPr>
              <w:t>导性意见；</w:t>
            </w:r>
          </w:p>
          <w:p>
            <w:pPr>
              <w:pStyle w:val="8"/>
              <w:numPr>
                <w:ilvl w:val="0"/>
                <w:numId w:val="3"/>
              </w:numPr>
              <w:tabs>
                <w:tab w:val="left" w:pos="1010"/>
              </w:tabs>
              <w:spacing w:before="0" w:after="0" w:line="299" w:lineRule="exact"/>
              <w:ind w:left="1010" w:right="0" w:hanging="370"/>
              <w:jc w:val="both"/>
              <w:rPr>
                <w:sz w:val="24"/>
              </w:rPr>
            </w:pPr>
            <w:r>
              <w:rPr>
                <w:spacing w:val="13"/>
                <w:sz w:val="24"/>
              </w:rPr>
              <w:t xml:space="preserve">期刊发表论文 </w:t>
            </w:r>
            <w:r>
              <w:rPr>
                <w:spacing w:val="8"/>
                <w:sz w:val="24"/>
              </w:rPr>
              <w:t>1-2</w:t>
            </w:r>
            <w:r>
              <w:rPr>
                <w:spacing w:val="-6"/>
                <w:sz w:val="24"/>
              </w:rPr>
              <w:t xml:space="preserve"> 篇。</w:t>
            </w:r>
          </w:p>
        </w:tc>
      </w:tr>
    </w:tbl>
    <w:p>
      <w:pPr>
        <w:spacing w:after="0" w:line="299" w:lineRule="exact"/>
        <w:jc w:val="both"/>
        <w:rPr>
          <w:sz w:val="24"/>
        </w:rPr>
      </w:pPr>
    </w:p>
    <w:p>
      <w:pPr>
        <w:pStyle w:val="3"/>
        <w:spacing w:line="20" w:lineRule="exact"/>
        <w:rPr>
          <w:sz w:val="2"/>
        </w:rPr>
      </w:pPr>
    </w:p>
    <w:sectPr>
      <w:footerReference r:id="rId5" w:type="default"/>
      <w:footerReference r:id="rId6" w:type="even"/>
      <w:pgSz w:w="11910" w:h="16840"/>
      <w:pgMar w:top="1580" w:right="820" w:bottom="1820" w:left="840" w:header="0" w:footer="1715"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61FADE"/>
    <w:multiLevelType w:val="multilevel"/>
    <w:tmpl w:val="8461FADE"/>
    <w:lvl w:ilvl="0" w:tentative="0">
      <w:start w:val="1"/>
      <w:numFmt w:val="decimal"/>
      <w:lvlText w:val="%1."/>
      <w:lvlJc w:val="left"/>
      <w:pPr>
        <w:ind w:left="107" w:hanging="267"/>
        <w:jc w:val="left"/>
      </w:pPr>
      <w:rPr>
        <w:rFonts w:hint="default" w:ascii="宋体" w:hAnsi="宋体" w:eastAsia="宋体" w:cs="宋体"/>
        <w:spacing w:val="12"/>
        <w:w w:val="100"/>
        <w:sz w:val="22"/>
        <w:szCs w:val="22"/>
        <w:lang w:val="zh-CN" w:eastAsia="zh-CN" w:bidi="zh-CN"/>
      </w:rPr>
    </w:lvl>
    <w:lvl w:ilvl="1" w:tentative="0">
      <w:start w:val="0"/>
      <w:numFmt w:val="bullet"/>
      <w:lvlText w:val="•"/>
      <w:lvlJc w:val="left"/>
      <w:pPr>
        <w:ind w:left="883" w:hanging="267"/>
      </w:pPr>
      <w:rPr>
        <w:rFonts w:hint="default"/>
        <w:lang w:val="zh-CN" w:eastAsia="zh-CN" w:bidi="zh-CN"/>
      </w:rPr>
    </w:lvl>
    <w:lvl w:ilvl="2" w:tentative="0">
      <w:start w:val="0"/>
      <w:numFmt w:val="bullet"/>
      <w:lvlText w:val="•"/>
      <w:lvlJc w:val="left"/>
      <w:pPr>
        <w:ind w:left="1666" w:hanging="267"/>
      </w:pPr>
      <w:rPr>
        <w:rFonts w:hint="default"/>
        <w:lang w:val="zh-CN" w:eastAsia="zh-CN" w:bidi="zh-CN"/>
      </w:rPr>
    </w:lvl>
    <w:lvl w:ilvl="3" w:tentative="0">
      <w:start w:val="0"/>
      <w:numFmt w:val="bullet"/>
      <w:lvlText w:val="•"/>
      <w:lvlJc w:val="left"/>
      <w:pPr>
        <w:ind w:left="2449" w:hanging="267"/>
      </w:pPr>
      <w:rPr>
        <w:rFonts w:hint="default"/>
        <w:lang w:val="zh-CN" w:eastAsia="zh-CN" w:bidi="zh-CN"/>
      </w:rPr>
    </w:lvl>
    <w:lvl w:ilvl="4" w:tentative="0">
      <w:start w:val="0"/>
      <w:numFmt w:val="bullet"/>
      <w:lvlText w:val="•"/>
      <w:lvlJc w:val="left"/>
      <w:pPr>
        <w:ind w:left="3232" w:hanging="267"/>
      </w:pPr>
      <w:rPr>
        <w:rFonts w:hint="default"/>
        <w:lang w:val="zh-CN" w:eastAsia="zh-CN" w:bidi="zh-CN"/>
      </w:rPr>
    </w:lvl>
    <w:lvl w:ilvl="5" w:tentative="0">
      <w:start w:val="0"/>
      <w:numFmt w:val="bullet"/>
      <w:lvlText w:val="•"/>
      <w:lvlJc w:val="left"/>
      <w:pPr>
        <w:ind w:left="4015" w:hanging="267"/>
      </w:pPr>
      <w:rPr>
        <w:rFonts w:hint="default"/>
        <w:lang w:val="zh-CN" w:eastAsia="zh-CN" w:bidi="zh-CN"/>
      </w:rPr>
    </w:lvl>
    <w:lvl w:ilvl="6" w:tentative="0">
      <w:start w:val="0"/>
      <w:numFmt w:val="bullet"/>
      <w:lvlText w:val="•"/>
      <w:lvlJc w:val="left"/>
      <w:pPr>
        <w:ind w:left="4798" w:hanging="267"/>
      </w:pPr>
      <w:rPr>
        <w:rFonts w:hint="default"/>
        <w:lang w:val="zh-CN" w:eastAsia="zh-CN" w:bidi="zh-CN"/>
      </w:rPr>
    </w:lvl>
    <w:lvl w:ilvl="7" w:tentative="0">
      <w:start w:val="0"/>
      <w:numFmt w:val="bullet"/>
      <w:lvlText w:val="•"/>
      <w:lvlJc w:val="left"/>
      <w:pPr>
        <w:ind w:left="5581" w:hanging="267"/>
      </w:pPr>
      <w:rPr>
        <w:rFonts w:hint="default"/>
        <w:lang w:val="zh-CN" w:eastAsia="zh-CN" w:bidi="zh-CN"/>
      </w:rPr>
    </w:lvl>
    <w:lvl w:ilvl="8" w:tentative="0">
      <w:start w:val="0"/>
      <w:numFmt w:val="bullet"/>
      <w:lvlText w:val="•"/>
      <w:lvlJc w:val="left"/>
      <w:pPr>
        <w:ind w:left="6364" w:hanging="267"/>
      </w:pPr>
      <w:rPr>
        <w:rFonts w:hint="default"/>
        <w:lang w:val="zh-CN" w:eastAsia="zh-CN" w:bidi="zh-CN"/>
      </w:rPr>
    </w:lvl>
  </w:abstractNum>
  <w:abstractNum w:abstractNumId="1">
    <w:nsid w:val="39A0D9AC"/>
    <w:multiLevelType w:val="multilevel"/>
    <w:tmpl w:val="39A0D9AC"/>
    <w:lvl w:ilvl="0" w:tentative="0">
      <w:start w:val="1"/>
      <w:numFmt w:val="decimal"/>
      <w:lvlText w:val="%1."/>
      <w:lvlJc w:val="left"/>
      <w:pPr>
        <w:ind w:left="107" w:hanging="267"/>
        <w:jc w:val="left"/>
      </w:pPr>
      <w:rPr>
        <w:rFonts w:hint="default" w:ascii="宋体" w:hAnsi="宋体" w:eastAsia="宋体" w:cs="宋体"/>
        <w:spacing w:val="12"/>
        <w:w w:val="100"/>
        <w:sz w:val="22"/>
        <w:szCs w:val="22"/>
        <w:lang w:val="zh-CN" w:eastAsia="zh-CN" w:bidi="zh-CN"/>
      </w:rPr>
    </w:lvl>
    <w:lvl w:ilvl="1" w:tentative="0">
      <w:start w:val="0"/>
      <w:numFmt w:val="bullet"/>
      <w:lvlText w:val="•"/>
      <w:lvlJc w:val="left"/>
      <w:pPr>
        <w:ind w:left="883" w:hanging="267"/>
      </w:pPr>
      <w:rPr>
        <w:rFonts w:hint="default"/>
        <w:lang w:val="zh-CN" w:eastAsia="zh-CN" w:bidi="zh-CN"/>
      </w:rPr>
    </w:lvl>
    <w:lvl w:ilvl="2" w:tentative="0">
      <w:start w:val="0"/>
      <w:numFmt w:val="bullet"/>
      <w:lvlText w:val="•"/>
      <w:lvlJc w:val="left"/>
      <w:pPr>
        <w:ind w:left="1666" w:hanging="267"/>
      </w:pPr>
      <w:rPr>
        <w:rFonts w:hint="default"/>
        <w:lang w:val="zh-CN" w:eastAsia="zh-CN" w:bidi="zh-CN"/>
      </w:rPr>
    </w:lvl>
    <w:lvl w:ilvl="3" w:tentative="0">
      <w:start w:val="0"/>
      <w:numFmt w:val="bullet"/>
      <w:lvlText w:val="•"/>
      <w:lvlJc w:val="left"/>
      <w:pPr>
        <w:ind w:left="2449" w:hanging="267"/>
      </w:pPr>
      <w:rPr>
        <w:rFonts w:hint="default"/>
        <w:lang w:val="zh-CN" w:eastAsia="zh-CN" w:bidi="zh-CN"/>
      </w:rPr>
    </w:lvl>
    <w:lvl w:ilvl="4" w:tentative="0">
      <w:start w:val="0"/>
      <w:numFmt w:val="bullet"/>
      <w:lvlText w:val="•"/>
      <w:lvlJc w:val="left"/>
      <w:pPr>
        <w:ind w:left="3232" w:hanging="267"/>
      </w:pPr>
      <w:rPr>
        <w:rFonts w:hint="default"/>
        <w:lang w:val="zh-CN" w:eastAsia="zh-CN" w:bidi="zh-CN"/>
      </w:rPr>
    </w:lvl>
    <w:lvl w:ilvl="5" w:tentative="0">
      <w:start w:val="0"/>
      <w:numFmt w:val="bullet"/>
      <w:lvlText w:val="•"/>
      <w:lvlJc w:val="left"/>
      <w:pPr>
        <w:ind w:left="4015" w:hanging="267"/>
      </w:pPr>
      <w:rPr>
        <w:rFonts w:hint="default"/>
        <w:lang w:val="zh-CN" w:eastAsia="zh-CN" w:bidi="zh-CN"/>
      </w:rPr>
    </w:lvl>
    <w:lvl w:ilvl="6" w:tentative="0">
      <w:start w:val="0"/>
      <w:numFmt w:val="bullet"/>
      <w:lvlText w:val="•"/>
      <w:lvlJc w:val="left"/>
      <w:pPr>
        <w:ind w:left="4798" w:hanging="267"/>
      </w:pPr>
      <w:rPr>
        <w:rFonts w:hint="default"/>
        <w:lang w:val="zh-CN" w:eastAsia="zh-CN" w:bidi="zh-CN"/>
      </w:rPr>
    </w:lvl>
    <w:lvl w:ilvl="7" w:tentative="0">
      <w:start w:val="0"/>
      <w:numFmt w:val="bullet"/>
      <w:lvlText w:val="•"/>
      <w:lvlJc w:val="left"/>
      <w:pPr>
        <w:ind w:left="5581" w:hanging="267"/>
      </w:pPr>
      <w:rPr>
        <w:rFonts w:hint="default"/>
        <w:lang w:val="zh-CN" w:eastAsia="zh-CN" w:bidi="zh-CN"/>
      </w:rPr>
    </w:lvl>
    <w:lvl w:ilvl="8" w:tentative="0">
      <w:start w:val="0"/>
      <w:numFmt w:val="bullet"/>
      <w:lvlText w:val="•"/>
      <w:lvlJc w:val="left"/>
      <w:pPr>
        <w:ind w:left="6364" w:hanging="267"/>
      </w:pPr>
      <w:rPr>
        <w:rFonts w:hint="default"/>
        <w:lang w:val="zh-CN" w:eastAsia="zh-CN" w:bidi="zh-CN"/>
      </w:rPr>
    </w:lvl>
  </w:abstractNum>
  <w:abstractNum w:abstractNumId="2">
    <w:nsid w:val="58765686"/>
    <w:multiLevelType w:val="multilevel"/>
    <w:tmpl w:val="58765686"/>
    <w:lvl w:ilvl="0" w:tentative="0">
      <w:start w:val="1"/>
      <w:numFmt w:val="decimal"/>
      <w:lvlText w:val="%1."/>
      <w:lvlJc w:val="left"/>
      <w:pPr>
        <w:ind w:left="107" w:hanging="267"/>
        <w:jc w:val="left"/>
      </w:pPr>
      <w:rPr>
        <w:rFonts w:hint="default" w:ascii="宋体" w:hAnsi="宋体" w:eastAsia="宋体" w:cs="宋体"/>
        <w:spacing w:val="12"/>
        <w:w w:val="100"/>
        <w:sz w:val="22"/>
        <w:szCs w:val="22"/>
        <w:lang w:val="zh-CN" w:eastAsia="zh-CN" w:bidi="zh-CN"/>
      </w:rPr>
    </w:lvl>
    <w:lvl w:ilvl="1" w:tentative="0">
      <w:start w:val="0"/>
      <w:numFmt w:val="bullet"/>
      <w:lvlText w:val="•"/>
      <w:lvlJc w:val="left"/>
      <w:pPr>
        <w:ind w:left="883" w:hanging="267"/>
      </w:pPr>
      <w:rPr>
        <w:rFonts w:hint="default"/>
        <w:lang w:val="zh-CN" w:eastAsia="zh-CN" w:bidi="zh-CN"/>
      </w:rPr>
    </w:lvl>
    <w:lvl w:ilvl="2" w:tentative="0">
      <w:start w:val="0"/>
      <w:numFmt w:val="bullet"/>
      <w:lvlText w:val="•"/>
      <w:lvlJc w:val="left"/>
      <w:pPr>
        <w:ind w:left="1666" w:hanging="267"/>
      </w:pPr>
      <w:rPr>
        <w:rFonts w:hint="default"/>
        <w:lang w:val="zh-CN" w:eastAsia="zh-CN" w:bidi="zh-CN"/>
      </w:rPr>
    </w:lvl>
    <w:lvl w:ilvl="3" w:tentative="0">
      <w:start w:val="0"/>
      <w:numFmt w:val="bullet"/>
      <w:lvlText w:val="•"/>
      <w:lvlJc w:val="left"/>
      <w:pPr>
        <w:ind w:left="2449" w:hanging="267"/>
      </w:pPr>
      <w:rPr>
        <w:rFonts w:hint="default"/>
        <w:lang w:val="zh-CN" w:eastAsia="zh-CN" w:bidi="zh-CN"/>
      </w:rPr>
    </w:lvl>
    <w:lvl w:ilvl="4" w:tentative="0">
      <w:start w:val="0"/>
      <w:numFmt w:val="bullet"/>
      <w:lvlText w:val="•"/>
      <w:lvlJc w:val="left"/>
      <w:pPr>
        <w:ind w:left="3232" w:hanging="267"/>
      </w:pPr>
      <w:rPr>
        <w:rFonts w:hint="default"/>
        <w:lang w:val="zh-CN" w:eastAsia="zh-CN" w:bidi="zh-CN"/>
      </w:rPr>
    </w:lvl>
    <w:lvl w:ilvl="5" w:tentative="0">
      <w:start w:val="0"/>
      <w:numFmt w:val="bullet"/>
      <w:lvlText w:val="•"/>
      <w:lvlJc w:val="left"/>
      <w:pPr>
        <w:ind w:left="4015" w:hanging="267"/>
      </w:pPr>
      <w:rPr>
        <w:rFonts w:hint="default"/>
        <w:lang w:val="zh-CN" w:eastAsia="zh-CN" w:bidi="zh-CN"/>
      </w:rPr>
    </w:lvl>
    <w:lvl w:ilvl="6" w:tentative="0">
      <w:start w:val="0"/>
      <w:numFmt w:val="bullet"/>
      <w:lvlText w:val="•"/>
      <w:lvlJc w:val="left"/>
      <w:pPr>
        <w:ind w:left="4798" w:hanging="267"/>
      </w:pPr>
      <w:rPr>
        <w:rFonts w:hint="default"/>
        <w:lang w:val="zh-CN" w:eastAsia="zh-CN" w:bidi="zh-CN"/>
      </w:rPr>
    </w:lvl>
    <w:lvl w:ilvl="7" w:tentative="0">
      <w:start w:val="0"/>
      <w:numFmt w:val="bullet"/>
      <w:lvlText w:val="•"/>
      <w:lvlJc w:val="left"/>
      <w:pPr>
        <w:ind w:left="5581" w:hanging="267"/>
      </w:pPr>
      <w:rPr>
        <w:rFonts w:hint="default"/>
        <w:lang w:val="zh-CN" w:eastAsia="zh-CN" w:bidi="zh-CN"/>
      </w:rPr>
    </w:lvl>
    <w:lvl w:ilvl="8" w:tentative="0">
      <w:start w:val="0"/>
      <w:numFmt w:val="bullet"/>
      <w:lvlText w:val="•"/>
      <w:lvlJc w:val="left"/>
      <w:pPr>
        <w:ind w:left="6364" w:hanging="267"/>
      </w:pPr>
      <w:rPr>
        <w:rFonts w:hint="default"/>
        <w:lang w:val="zh-CN" w:eastAsia="zh-CN" w:bidi="zh-C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evenAndOddHeaders w:val="1"/>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000000"/>
    <w:rsid w:val="4D3A3F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50"/>
      <w:ind w:left="45" w:right="58"/>
      <w:jc w:val="center"/>
      <w:outlineLvl w:val="1"/>
    </w:pPr>
    <w:rPr>
      <w:rFonts w:ascii="黑体" w:hAnsi="黑体" w:eastAsia="黑体" w:cs="黑体"/>
      <w:sz w:val="36"/>
      <w:szCs w:val="36"/>
      <w:lang w:val="zh-CN" w:eastAsia="zh-CN" w:bidi="zh-CN"/>
    </w:rPr>
  </w:style>
  <w:style w:type="character" w:default="1" w:styleId="5">
    <w:name w:val="Default Paragraph Font"/>
    <w:semiHidden/>
    <w:unhideWhenUsed/>
    <w:uiPriority w:val="1"/>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rFonts w:ascii="仿宋" w:hAnsi="仿宋" w:eastAsia="仿宋" w:cs="仿宋"/>
      <w:sz w:val="32"/>
      <w:szCs w:val="32"/>
      <w:lang w:val="zh-CN" w:eastAsia="zh-CN" w:bidi="zh-CN"/>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spacing w:before="159"/>
      <w:ind w:left="1872" w:hanging="483"/>
    </w:pPr>
    <w:rPr>
      <w:rFonts w:ascii="仿宋" w:hAnsi="仿宋" w:eastAsia="仿宋" w:cs="仿宋"/>
      <w:lang w:val="zh-CN" w:eastAsia="zh-CN" w:bidi="zh-CN"/>
    </w:rPr>
  </w:style>
  <w:style w:type="paragraph" w:customStyle="1" w:styleId="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2020-09-27T08:31:00Z</dcterms:created>
  <dc:creator>李琴</dc:creator>
  <cp:lastModifiedBy>斗猪</cp:lastModifiedBy>
  <dcterms:modified xsi:type="dcterms:W3CDTF">2020-09-27T14:31:37Z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2020-09-23T00:00:00Z</vt:filetime>
  </property>
  <property fmtid="{D5CDD505-2E9C-101B-9397-08002B2CF9AE}" pid="3" name="Creator">
    <vt:lpwstr>Microsoft® Office Word 2007</vt:lpwstr>
  </property>
  <property fmtid="{D5CDD505-2E9C-101B-9397-08002B2CF9AE}" pid="4" name="LastSaved">
    <vt:filetime>2020-09-27T00:00:00Z</vt:filetime>
  </property>
  <property fmtid="{D5CDD505-2E9C-101B-9397-08002B2CF9AE}" pid="5" name="KSOProductBuildVer">
    <vt:lpwstr>2052-11.1.0.9999</vt:lpwstr>
  </property>
</Properties>
</file>