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rPr>
          <w:rFonts w:ascii="黑体" w:hAnsi="黑体" w:eastAsia="黑体" w:cs="黑体"/>
          <w:b/>
          <w:bCs/>
          <w:sz w:val="28"/>
          <w:szCs w:val="28"/>
        </w:rPr>
      </w:pPr>
      <w:r>
        <w:rPr>
          <w:rFonts w:hint="eastAsia" w:ascii="黑体" w:hAnsi="黑体" w:eastAsia="黑体" w:cs="黑体"/>
          <w:b/>
          <w:bCs/>
          <w:sz w:val="28"/>
          <w:szCs w:val="28"/>
        </w:rPr>
        <w:t>附件：</w:t>
      </w:r>
    </w:p>
    <w:p>
      <w:pPr>
        <w:pStyle w:val="2"/>
        <w:widowControl/>
        <w:spacing w:beforeAutospacing="0" w:afterAutospacing="0"/>
        <w:ind w:firstLine="562" w:firstLineChars="200"/>
        <w:jc w:val="center"/>
        <w:rPr>
          <w:rFonts w:ascii="黑体" w:hAnsi="黑体" w:eastAsia="黑体" w:cs="黑体"/>
          <w:b/>
          <w:bCs/>
          <w:sz w:val="28"/>
          <w:szCs w:val="28"/>
        </w:rPr>
      </w:pPr>
      <w:r>
        <w:rPr>
          <w:rFonts w:hint="eastAsia" w:ascii="黑体" w:hAnsi="黑体" w:eastAsia="黑体" w:cs="黑体"/>
          <w:b/>
          <w:bCs/>
          <w:sz w:val="28"/>
          <w:szCs w:val="28"/>
        </w:rPr>
        <w:t>广西师范大学20</w:t>
      </w:r>
      <w:r>
        <w:rPr>
          <w:rFonts w:ascii="黑体" w:hAnsi="黑体" w:eastAsia="黑体" w:cs="黑体"/>
          <w:b/>
          <w:bCs/>
          <w:sz w:val="28"/>
          <w:szCs w:val="28"/>
        </w:rPr>
        <w:t>21</w:t>
      </w:r>
      <w:r>
        <w:rPr>
          <w:rFonts w:hint="eastAsia" w:ascii="黑体" w:hAnsi="黑体" w:eastAsia="黑体" w:cs="黑体"/>
          <w:b/>
          <w:bCs/>
          <w:sz w:val="28"/>
          <w:szCs w:val="28"/>
        </w:rPr>
        <w:t>年辅导员工作室重点培育对象</w:t>
      </w:r>
    </w:p>
    <w:p>
      <w:pPr>
        <w:pStyle w:val="2"/>
        <w:widowControl/>
        <w:spacing w:beforeAutospacing="0" w:afterAutospacing="0"/>
        <w:ind w:firstLine="562" w:firstLineChars="200"/>
        <w:jc w:val="center"/>
        <w:rPr>
          <w:rFonts w:ascii="黑体" w:hAnsi="黑体" w:eastAsia="黑体" w:cs="黑体"/>
          <w:b/>
          <w:bCs/>
          <w:sz w:val="28"/>
          <w:szCs w:val="24"/>
        </w:rPr>
      </w:pPr>
    </w:p>
    <w:tbl>
      <w:tblPr>
        <w:tblStyle w:val="4"/>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981"/>
        <w:gridCol w:w="2799"/>
        <w:gridCol w:w="4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753" w:type="dxa"/>
            <w:vAlign w:val="center"/>
          </w:tcPr>
          <w:p>
            <w:pPr>
              <w:widowControl/>
              <w:jc w:val="both"/>
              <w:textAlignment w:val="center"/>
            </w:pPr>
            <w:r>
              <w:rPr>
                <w:rFonts w:hint="eastAsia" w:ascii="宋体" w:hAnsi="宋体" w:eastAsia="宋体" w:cs="宋体"/>
                <w:b/>
                <w:color w:val="000000"/>
                <w:kern w:val="0"/>
                <w:sz w:val="24"/>
                <w:szCs w:val="24"/>
                <w:lang w:eastAsia="zh-CN" w:bidi="ar"/>
              </w:rPr>
              <w:t>序</w:t>
            </w:r>
            <w:r>
              <w:rPr>
                <w:rFonts w:hint="eastAsia" w:ascii="宋体" w:hAnsi="宋体" w:eastAsia="宋体" w:cs="宋体"/>
                <w:b/>
                <w:color w:val="000000"/>
                <w:kern w:val="0"/>
                <w:sz w:val="24"/>
                <w:szCs w:val="24"/>
                <w:lang w:bidi="ar"/>
              </w:rPr>
              <w:t>号</w:t>
            </w:r>
          </w:p>
        </w:tc>
        <w:tc>
          <w:tcPr>
            <w:tcW w:w="981" w:type="dxa"/>
            <w:vAlign w:val="center"/>
          </w:tcPr>
          <w:p>
            <w:pPr>
              <w:widowControl/>
              <w:jc w:val="center"/>
              <w:textAlignment w:val="center"/>
            </w:pPr>
            <w:r>
              <w:rPr>
                <w:rFonts w:hint="eastAsia" w:ascii="宋体" w:hAnsi="宋体" w:eastAsia="宋体" w:cs="宋体"/>
                <w:b/>
                <w:color w:val="000000"/>
                <w:kern w:val="0"/>
                <w:sz w:val="24"/>
                <w:szCs w:val="24"/>
                <w:lang w:bidi="ar"/>
              </w:rPr>
              <w:t>主持人</w:t>
            </w:r>
          </w:p>
        </w:tc>
        <w:tc>
          <w:tcPr>
            <w:tcW w:w="2799" w:type="dxa"/>
            <w:vAlign w:val="center"/>
          </w:tcPr>
          <w:p>
            <w:pPr>
              <w:widowControl/>
              <w:jc w:val="center"/>
              <w:textAlignment w:val="center"/>
            </w:pPr>
            <w:r>
              <w:rPr>
                <w:rFonts w:hint="eastAsia" w:ascii="宋体" w:hAnsi="宋体" w:eastAsia="宋体" w:cs="宋体"/>
                <w:b/>
                <w:color w:val="000000"/>
                <w:kern w:val="0"/>
                <w:sz w:val="24"/>
                <w:szCs w:val="24"/>
                <w:lang w:bidi="ar"/>
              </w:rPr>
              <w:t>工作室名称</w:t>
            </w:r>
          </w:p>
        </w:tc>
        <w:tc>
          <w:tcPr>
            <w:tcW w:w="4676" w:type="dxa"/>
            <w:vAlign w:val="center"/>
          </w:tcPr>
          <w:p>
            <w:pPr>
              <w:widowControl/>
              <w:jc w:val="center"/>
              <w:textAlignment w:val="center"/>
            </w:pPr>
            <w:r>
              <w:rPr>
                <w:rFonts w:hint="eastAsia" w:ascii="宋体" w:hAnsi="宋体" w:eastAsia="宋体" w:cs="宋体"/>
                <w:b/>
                <w:color w:val="000000"/>
                <w:kern w:val="0"/>
                <w:sz w:val="24"/>
                <w:szCs w:val="24"/>
                <w:lang w:bidi="ar"/>
              </w:rPr>
              <w:t>研究方向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jc w:val="center"/>
        </w:trPr>
        <w:tc>
          <w:tcPr>
            <w:tcW w:w="753" w:type="dxa"/>
            <w:vAlign w:val="center"/>
          </w:tcPr>
          <w:p>
            <w:pPr>
              <w:widowControl/>
              <w:jc w:val="center"/>
              <w:textAlignment w:val="center"/>
            </w:pPr>
            <w:r>
              <w:rPr>
                <w:rFonts w:hint="eastAsia" w:ascii="宋体" w:hAnsi="宋体" w:eastAsia="宋体" w:cs="宋体"/>
                <w:color w:val="000000"/>
                <w:kern w:val="0"/>
                <w:sz w:val="24"/>
                <w:szCs w:val="24"/>
                <w:lang w:bidi="ar"/>
              </w:rPr>
              <w:t>1</w:t>
            </w:r>
          </w:p>
        </w:tc>
        <w:tc>
          <w:tcPr>
            <w:tcW w:w="981" w:type="dxa"/>
            <w:vAlign w:val="center"/>
          </w:tcPr>
          <w:p>
            <w:pPr>
              <w:widowControl/>
              <w:jc w:val="center"/>
              <w:textAlignment w:val="center"/>
            </w:pPr>
            <w:bookmarkStart w:id="0" w:name="_GoBack"/>
            <w:bookmarkEnd w:id="0"/>
            <w:r>
              <w:rPr>
                <w:rFonts w:hint="eastAsia" w:ascii="宋体" w:hAnsi="宋体" w:eastAsia="宋体" w:cs="宋体"/>
                <w:color w:val="000000"/>
                <w:kern w:val="0"/>
                <w:sz w:val="24"/>
                <w:szCs w:val="24"/>
                <w:lang w:bidi="ar"/>
              </w:rPr>
              <w:t>甘  泉</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bidi="ar"/>
              </w:rPr>
              <w:t>实践育人工作室</w:t>
            </w:r>
          </w:p>
        </w:tc>
        <w:tc>
          <w:tcPr>
            <w:tcW w:w="4676" w:type="dxa"/>
            <w:vAlign w:val="center"/>
          </w:tcPr>
          <w:p>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1.一流课程建设背景下大学生社会实践课程育人评价体系的构建研究</w:t>
            </w:r>
          </w:p>
          <w:p>
            <w:pPr>
              <w:widowControl/>
              <w:jc w:val="left"/>
              <w:textAlignment w:val="center"/>
            </w:pPr>
            <w:r>
              <w:rPr>
                <w:rFonts w:hint="eastAsia" w:ascii="宋体" w:hAnsi="宋体" w:eastAsia="宋体" w:cs="宋体"/>
                <w:color w:val="000000"/>
                <w:kern w:val="0"/>
                <w:sz w:val="24"/>
                <w:szCs w:val="24"/>
                <w:lang w:bidi="ar"/>
              </w:rPr>
              <w:t>2.教育评价改革背景下大学生社会实践与创新创业教育、劳动教育的融合发展路径研究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53" w:type="dxa"/>
            <w:vAlign w:val="center"/>
          </w:tcPr>
          <w:p>
            <w:pPr>
              <w:widowControl/>
              <w:jc w:val="center"/>
              <w:textAlignment w:val="center"/>
            </w:pPr>
            <w:r>
              <w:rPr>
                <w:rFonts w:hint="eastAsia" w:ascii="宋体" w:hAnsi="宋体" w:eastAsia="宋体" w:cs="宋体"/>
                <w:color w:val="000000"/>
                <w:kern w:val="0"/>
                <w:sz w:val="24"/>
                <w:szCs w:val="24"/>
                <w:lang w:bidi="ar"/>
              </w:rPr>
              <w:t>2</w:t>
            </w:r>
          </w:p>
        </w:tc>
        <w:tc>
          <w:tcPr>
            <w:tcW w:w="981" w:type="dxa"/>
            <w:vAlign w:val="center"/>
          </w:tcPr>
          <w:p>
            <w:pPr>
              <w:widowControl/>
              <w:jc w:val="center"/>
              <w:textAlignment w:val="center"/>
            </w:pPr>
            <w:r>
              <w:rPr>
                <w:rFonts w:hint="eastAsia" w:ascii="宋体" w:hAnsi="宋体" w:eastAsia="宋体" w:cs="宋体"/>
                <w:i w:val="0"/>
                <w:iCs w:val="0"/>
                <w:color w:val="000000"/>
                <w:kern w:val="0"/>
                <w:sz w:val="22"/>
                <w:szCs w:val="22"/>
                <w:u w:val="none"/>
                <w:lang w:val="en-US" w:eastAsia="zh-CN" w:bidi="ar"/>
              </w:rPr>
              <w:t>禤推鸰</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eastAsia="zh-CN" w:bidi="ar"/>
              </w:rPr>
              <w:t>资助育人</w:t>
            </w:r>
            <w:r>
              <w:rPr>
                <w:rFonts w:hint="eastAsia" w:ascii="宋体" w:hAnsi="宋体" w:eastAsia="宋体" w:cs="宋体"/>
                <w:color w:val="000000"/>
                <w:kern w:val="0"/>
                <w:sz w:val="24"/>
                <w:szCs w:val="24"/>
                <w:lang w:bidi="ar"/>
              </w:rPr>
              <w:t>工作室</w:t>
            </w:r>
          </w:p>
        </w:tc>
        <w:tc>
          <w:tcPr>
            <w:tcW w:w="467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Theme="minorHAnsi" w:hAnsiTheme="minorHAnsi" w:eastAsiaTheme="minorEastAsia" w:cstheme="minorBidi"/>
                <w:kern w:val="2"/>
                <w:sz w:val="21"/>
                <w:szCs w:val="22"/>
                <w:vertAlign w:val="baseline"/>
                <w:lang w:val="en-US" w:eastAsia="zh-CN" w:bidi="ar-SA"/>
              </w:rPr>
            </w:pPr>
            <w:r>
              <w:rPr>
                <w:rFonts w:hint="eastAsia" w:ascii="宋体" w:hAnsi="宋体" w:eastAsia="宋体" w:cs="宋体"/>
                <w:i w:val="0"/>
                <w:color w:val="000000"/>
                <w:kern w:val="0"/>
                <w:sz w:val="24"/>
                <w:szCs w:val="24"/>
                <w:u w:val="none"/>
                <w:lang w:val="en-US" w:eastAsia="zh-CN" w:bidi="ar"/>
              </w:rPr>
              <w:t>1.高校资助育人体系构建及效果评估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753" w:type="dxa"/>
            <w:vAlign w:val="center"/>
          </w:tcPr>
          <w:p>
            <w:pPr>
              <w:widowControl/>
              <w:jc w:val="center"/>
              <w:textAlignment w:val="center"/>
            </w:pPr>
            <w:r>
              <w:rPr>
                <w:rFonts w:hint="eastAsia" w:ascii="宋体" w:hAnsi="宋体" w:eastAsia="宋体" w:cs="宋体"/>
                <w:color w:val="000000"/>
                <w:kern w:val="0"/>
                <w:sz w:val="24"/>
                <w:szCs w:val="24"/>
                <w:lang w:bidi="ar"/>
              </w:rPr>
              <w:t>3</w:t>
            </w:r>
          </w:p>
        </w:tc>
        <w:tc>
          <w:tcPr>
            <w:tcW w:w="981" w:type="dxa"/>
            <w:vAlign w:val="center"/>
          </w:tcPr>
          <w:p>
            <w:pPr>
              <w:widowControl/>
              <w:jc w:val="center"/>
              <w:textAlignment w:val="center"/>
            </w:pPr>
            <w:r>
              <w:rPr>
                <w:rFonts w:hint="eastAsia" w:ascii="宋体" w:hAnsi="宋体" w:eastAsia="宋体" w:cs="宋体"/>
                <w:color w:val="000000"/>
                <w:kern w:val="0"/>
                <w:sz w:val="24"/>
                <w:szCs w:val="24"/>
                <w:lang w:bidi="ar"/>
              </w:rPr>
              <w:t>苏  政</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bidi="ar"/>
              </w:rPr>
              <w:t>体健达人工作室</w:t>
            </w:r>
          </w:p>
        </w:tc>
        <w:tc>
          <w:tcPr>
            <w:tcW w:w="4676" w:type="dxa"/>
            <w:vAlign w:val="center"/>
          </w:tcPr>
          <w:p>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1.高校辅导员体能素质的现状与提升研究</w:t>
            </w:r>
          </w:p>
          <w:p>
            <w:pPr>
              <w:widowControl/>
              <w:jc w:val="left"/>
              <w:textAlignment w:val="center"/>
            </w:pPr>
            <w:r>
              <w:rPr>
                <w:rFonts w:hint="eastAsia" w:ascii="宋体" w:hAnsi="宋体" w:eastAsia="宋体" w:cs="宋体"/>
                <w:color w:val="000000"/>
                <w:kern w:val="0"/>
                <w:sz w:val="24"/>
                <w:szCs w:val="24"/>
                <w:lang w:bidi="ar"/>
              </w:rPr>
              <w:t>2.基于“健康中国战略”的高校辅导员健康技能提升研究与实践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61" w:hRule="atLeast"/>
          <w:jc w:val="center"/>
        </w:trPr>
        <w:tc>
          <w:tcPr>
            <w:tcW w:w="753" w:type="dxa"/>
            <w:vAlign w:val="center"/>
          </w:tcPr>
          <w:p>
            <w:pPr>
              <w:widowControl/>
              <w:jc w:val="center"/>
              <w:textAlignment w:val="center"/>
            </w:pPr>
            <w:r>
              <w:rPr>
                <w:rFonts w:hint="eastAsia" w:ascii="宋体" w:hAnsi="宋体" w:eastAsia="宋体" w:cs="宋体"/>
                <w:color w:val="000000"/>
                <w:kern w:val="0"/>
                <w:sz w:val="24"/>
                <w:szCs w:val="24"/>
                <w:lang w:bidi="ar"/>
              </w:rPr>
              <w:t>4</w:t>
            </w:r>
          </w:p>
        </w:tc>
        <w:tc>
          <w:tcPr>
            <w:tcW w:w="981" w:type="dxa"/>
            <w:vAlign w:val="center"/>
          </w:tcPr>
          <w:p>
            <w:pPr>
              <w:widowControl/>
              <w:jc w:val="center"/>
              <w:textAlignment w:val="center"/>
            </w:pPr>
            <w:r>
              <w:rPr>
                <w:rFonts w:hint="eastAsia" w:ascii="宋体" w:hAnsi="宋体" w:eastAsia="宋体" w:cs="宋体"/>
                <w:color w:val="000000"/>
                <w:kern w:val="0"/>
                <w:sz w:val="24"/>
                <w:szCs w:val="24"/>
                <w:lang w:bidi="ar"/>
              </w:rPr>
              <w:t>赵  阳</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bidi="ar"/>
              </w:rPr>
              <w:t>劳动育人工作室</w:t>
            </w:r>
          </w:p>
        </w:tc>
        <w:tc>
          <w:tcPr>
            <w:tcW w:w="4676" w:type="dxa"/>
            <w:vAlign w:val="center"/>
          </w:tcPr>
          <w:p>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1.新时代大学生劳动教育的重要性和必要性研究</w:t>
            </w:r>
          </w:p>
          <w:p>
            <w:pPr>
              <w:widowControl/>
              <w:jc w:val="left"/>
              <w:textAlignment w:val="center"/>
            </w:pPr>
            <w:r>
              <w:rPr>
                <w:rFonts w:hint="eastAsia" w:ascii="宋体" w:hAnsi="宋体" w:eastAsia="宋体" w:cs="宋体"/>
                <w:color w:val="000000"/>
                <w:kern w:val="0"/>
                <w:sz w:val="24"/>
                <w:szCs w:val="24"/>
                <w:lang w:bidi="ar"/>
              </w:rPr>
              <w:t>2.新时代大学生劳动教育发挥思想政治教育功能的困境和实践路径研究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53" w:type="dxa"/>
            <w:vAlign w:val="center"/>
          </w:tcPr>
          <w:p>
            <w:pPr>
              <w:widowControl/>
              <w:jc w:val="center"/>
              <w:textAlignment w:val="center"/>
            </w:pPr>
            <w:r>
              <w:rPr>
                <w:rFonts w:hint="eastAsia" w:ascii="宋体" w:hAnsi="宋体" w:eastAsia="宋体" w:cs="宋体"/>
                <w:color w:val="000000"/>
                <w:kern w:val="0"/>
                <w:sz w:val="24"/>
                <w:szCs w:val="24"/>
                <w:lang w:bidi="ar"/>
              </w:rPr>
              <w:t>5</w:t>
            </w:r>
          </w:p>
        </w:tc>
        <w:tc>
          <w:tcPr>
            <w:tcW w:w="981" w:type="dxa"/>
            <w:vAlign w:val="center"/>
          </w:tcPr>
          <w:p>
            <w:pPr>
              <w:widowControl/>
              <w:jc w:val="center"/>
              <w:textAlignment w:val="center"/>
            </w:pPr>
            <w:r>
              <w:rPr>
                <w:rFonts w:hint="eastAsia" w:ascii="宋体" w:hAnsi="宋体" w:eastAsia="宋体" w:cs="宋体"/>
                <w:color w:val="000000"/>
                <w:kern w:val="0"/>
                <w:sz w:val="24"/>
                <w:szCs w:val="24"/>
                <w:lang w:bidi="ar"/>
              </w:rPr>
              <w:t>牛苗苗</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bidi="ar"/>
              </w:rPr>
              <w:t>生命安全教育工作室</w:t>
            </w:r>
          </w:p>
        </w:tc>
        <w:tc>
          <w:tcPr>
            <w:tcW w:w="4676" w:type="dxa"/>
            <w:vAlign w:val="center"/>
          </w:tcPr>
          <w:p>
            <w:pPr>
              <w:widowControl/>
              <w:jc w:val="left"/>
              <w:textAlignment w:val="center"/>
            </w:pPr>
            <w:r>
              <w:rPr>
                <w:rFonts w:hint="eastAsia" w:ascii="宋体" w:hAnsi="宋体" w:eastAsia="宋体" w:cs="宋体"/>
                <w:color w:val="000000"/>
                <w:kern w:val="0"/>
                <w:sz w:val="24"/>
                <w:szCs w:val="24"/>
                <w:lang w:bidi="ar"/>
              </w:rPr>
              <w:t>1.大学生珍爱生命教育的策略探索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753" w:type="dxa"/>
            <w:vAlign w:val="center"/>
          </w:tcPr>
          <w:p>
            <w:pPr>
              <w:widowControl/>
              <w:jc w:val="center"/>
              <w:textAlignment w:val="center"/>
            </w:pPr>
            <w:r>
              <w:rPr>
                <w:rFonts w:hint="eastAsia" w:ascii="宋体" w:hAnsi="宋体" w:eastAsia="宋体" w:cs="宋体"/>
                <w:color w:val="000000"/>
                <w:kern w:val="0"/>
                <w:sz w:val="24"/>
                <w:szCs w:val="24"/>
                <w:lang w:bidi="ar"/>
              </w:rPr>
              <w:t>6</w:t>
            </w:r>
          </w:p>
        </w:tc>
        <w:tc>
          <w:tcPr>
            <w:tcW w:w="981" w:type="dxa"/>
            <w:vAlign w:val="center"/>
          </w:tcPr>
          <w:p>
            <w:pPr>
              <w:widowControl/>
              <w:jc w:val="center"/>
              <w:textAlignment w:val="center"/>
            </w:pPr>
            <w:r>
              <w:rPr>
                <w:rFonts w:hint="eastAsia" w:ascii="宋体" w:hAnsi="宋体" w:eastAsia="宋体" w:cs="宋体"/>
                <w:kern w:val="0"/>
                <w:sz w:val="24"/>
                <w:szCs w:val="24"/>
                <w:lang w:bidi="ar"/>
              </w:rPr>
              <w:t>苏  宝</w:t>
            </w:r>
          </w:p>
        </w:tc>
        <w:tc>
          <w:tcPr>
            <w:tcW w:w="2799" w:type="dxa"/>
            <w:vAlign w:val="center"/>
          </w:tcPr>
          <w:p>
            <w:pPr>
              <w:widowControl/>
              <w:jc w:val="center"/>
              <w:textAlignment w:val="center"/>
            </w:pPr>
            <w:r>
              <w:rPr>
                <w:rFonts w:hint="eastAsia" w:ascii="宋体" w:hAnsi="宋体" w:eastAsia="宋体" w:cs="宋体"/>
                <w:kern w:val="0"/>
                <w:sz w:val="24"/>
                <w:szCs w:val="24"/>
                <w:lang w:bidi="ar"/>
              </w:rPr>
              <w:t>大学生生涯发展工作室</w:t>
            </w:r>
          </w:p>
        </w:tc>
        <w:tc>
          <w:tcPr>
            <w:tcW w:w="4676" w:type="dxa"/>
            <w:vAlign w:val="center"/>
          </w:tcPr>
          <w:p>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1.大学生职业生涯规划全程化教育体系研究</w:t>
            </w:r>
          </w:p>
          <w:p>
            <w:pPr>
              <w:widowControl/>
              <w:jc w:val="left"/>
              <w:textAlignment w:val="center"/>
            </w:pPr>
            <w:r>
              <w:rPr>
                <w:rFonts w:hint="eastAsia" w:ascii="宋体" w:hAnsi="宋体" w:eastAsia="宋体" w:cs="宋体"/>
                <w:color w:val="000000"/>
                <w:kern w:val="0"/>
                <w:sz w:val="24"/>
                <w:szCs w:val="24"/>
                <w:lang w:bidi="ar"/>
              </w:rPr>
              <w:t>2.大学生职业生涯教育与思想政治教育的有效融合研究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3" w:type="dxa"/>
            <w:vAlign w:val="center"/>
          </w:tcPr>
          <w:p>
            <w:pPr>
              <w:widowControl/>
              <w:jc w:val="center"/>
              <w:textAlignment w:val="center"/>
            </w:pPr>
            <w:r>
              <w:rPr>
                <w:rFonts w:hint="eastAsia" w:ascii="宋体" w:hAnsi="宋体" w:eastAsia="宋体" w:cs="宋体"/>
                <w:color w:val="000000"/>
                <w:kern w:val="0"/>
                <w:sz w:val="24"/>
                <w:szCs w:val="24"/>
                <w:lang w:bidi="ar"/>
              </w:rPr>
              <w:t>7</w:t>
            </w:r>
          </w:p>
        </w:tc>
        <w:tc>
          <w:tcPr>
            <w:tcW w:w="981" w:type="dxa"/>
            <w:vAlign w:val="center"/>
          </w:tcPr>
          <w:p>
            <w:pPr>
              <w:widowControl/>
              <w:jc w:val="center"/>
              <w:textAlignment w:val="center"/>
            </w:pPr>
            <w:r>
              <w:rPr>
                <w:rFonts w:hint="eastAsia" w:ascii="宋体" w:hAnsi="宋体" w:eastAsia="宋体" w:cs="宋体"/>
                <w:color w:val="000000"/>
                <w:kern w:val="0"/>
                <w:sz w:val="24"/>
                <w:szCs w:val="24"/>
                <w:lang w:bidi="ar"/>
              </w:rPr>
              <w:t>贾越峰</w:t>
            </w:r>
          </w:p>
        </w:tc>
        <w:tc>
          <w:tcPr>
            <w:tcW w:w="2799" w:type="dxa"/>
            <w:vAlign w:val="center"/>
          </w:tcPr>
          <w:p>
            <w:pPr>
              <w:widowControl/>
              <w:jc w:val="center"/>
              <w:textAlignment w:val="center"/>
            </w:pPr>
            <w:r>
              <w:rPr>
                <w:rFonts w:hint="eastAsia" w:ascii="宋体" w:hAnsi="宋体" w:eastAsia="宋体" w:cs="宋体"/>
                <w:color w:val="000000"/>
                <w:kern w:val="0"/>
                <w:sz w:val="24"/>
                <w:szCs w:val="24"/>
                <w:lang w:bidi="ar"/>
              </w:rPr>
              <w:t>国防教育工作室</w:t>
            </w:r>
          </w:p>
        </w:tc>
        <w:tc>
          <w:tcPr>
            <w:tcW w:w="4676" w:type="dxa"/>
            <w:vAlign w:val="center"/>
          </w:tcPr>
          <w:p>
            <w:pPr>
              <w:widowControl/>
              <w:jc w:val="left"/>
              <w:textAlignment w:val="center"/>
              <w:rPr>
                <w:rFonts w:hint="eastAsia" w:ascii="宋体" w:hAnsi="宋体" w:eastAsia="宋体" w:cs="宋体"/>
                <w:color w:val="000000"/>
                <w:kern w:val="0"/>
                <w:sz w:val="24"/>
                <w:szCs w:val="24"/>
                <w:lang w:bidi="ar"/>
              </w:rPr>
            </w:pPr>
            <w:r>
              <w:rPr>
                <w:rFonts w:ascii="宋体" w:hAnsi="宋体" w:eastAsia="宋体" w:cs="宋体"/>
                <w:color w:val="000000"/>
                <w:kern w:val="0"/>
                <w:sz w:val="24"/>
                <w:szCs w:val="24"/>
                <w:lang w:bidi="ar"/>
              </w:rPr>
              <w:t>1</w:t>
            </w:r>
            <w:r>
              <w:rPr>
                <w:rFonts w:hint="eastAsia" w:ascii="宋体" w:hAnsi="宋体" w:eastAsia="宋体" w:cs="宋体"/>
                <w:color w:val="000000"/>
                <w:kern w:val="0"/>
                <w:sz w:val="24"/>
                <w:szCs w:val="24"/>
                <w:lang w:bidi="ar"/>
              </w:rPr>
              <w:t>.高校国防教育协同育人途径研究</w:t>
            </w:r>
          </w:p>
          <w:p>
            <w:pPr>
              <w:widowControl/>
              <w:jc w:val="left"/>
              <w:textAlignment w:val="center"/>
            </w:pPr>
            <w:r>
              <w:rPr>
                <w:rFonts w:ascii="宋体" w:hAnsi="宋体" w:eastAsia="宋体" w:cs="宋体"/>
                <w:color w:val="000000"/>
                <w:kern w:val="0"/>
                <w:sz w:val="24"/>
                <w:szCs w:val="24"/>
                <w:lang w:bidi="ar"/>
              </w:rPr>
              <w:t>2</w:t>
            </w:r>
            <w:r>
              <w:rPr>
                <w:rFonts w:hint="eastAsia" w:ascii="宋体" w:hAnsi="宋体" w:eastAsia="宋体" w:cs="宋体"/>
                <w:color w:val="000000"/>
                <w:kern w:val="0"/>
                <w:sz w:val="24"/>
                <w:szCs w:val="24"/>
                <w:lang w:bidi="ar"/>
              </w:rPr>
              <w:t>.课程思政视域下高校军事理论课教学模式创新研究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753" w:type="dxa"/>
            <w:vAlign w:val="center"/>
          </w:tcPr>
          <w:p>
            <w:pPr>
              <w:widowControl/>
              <w:jc w:val="center"/>
              <w:textAlignment w:val="center"/>
            </w:pPr>
            <w:r>
              <w:rPr>
                <w:rFonts w:hint="eastAsia" w:ascii="宋体" w:hAnsi="宋体" w:eastAsia="宋体" w:cs="宋体"/>
                <w:color w:val="000000"/>
                <w:kern w:val="0"/>
                <w:sz w:val="24"/>
                <w:szCs w:val="24"/>
                <w:lang w:bidi="ar"/>
              </w:rPr>
              <w:t>8</w:t>
            </w:r>
          </w:p>
        </w:tc>
        <w:tc>
          <w:tcPr>
            <w:tcW w:w="981" w:type="dxa"/>
            <w:vAlign w:val="center"/>
          </w:tcPr>
          <w:p>
            <w:pPr>
              <w:widowControl/>
              <w:jc w:val="center"/>
              <w:textAlignment w:val="center"/>
            </w:pPr>
            <w:r>
              <w:rPr>
                <w:rFonts w:hint="eastAsia" w:ascii="宋体" w:hAnsi="宋体" w:eastAsia="宋体" w:cs="宋体"/>
                <w:color w:val="000000"/>
                <w:kern w:val="0"/>
                <w:sz w:val="24"/>
                <w:szCs w:val="24"/>
                <w:lang w:bidi="ar"/>
              </w:rPr>
              <w:t>苏  明</w:t>
            </w:r>
          </w:p>
        </w:tc>
        <w:tc>
          <w:tcPr>
            <w:tcW w:w="2799" w:type="dxa"/>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组织育人工作室</w:t>
            </w:r>
          </w:p>
        </w:tc>
        <w:tc>
          <w:tcPr>
            <w:tcW w:w="4676" w:type="dxa"/>
            <w:vAlign w:val="center"/>
          </w:tcPr>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1.辅导员党团工作能力提升研究</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2.组织育人视角下的育人案例和实践研究</w:t>
            </w:r>
          </w:p>
        </w:tc>
      </w:tr>
    </w:tbl>
    <w:p/>
    <w:p/>
    <w:sectPr>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CD19C5"/>
    <w:rsid w:val="00051816"/>
    <w:rsid w:val="000616D8"/>
    <w:rsid w:val="001B4C96"/>
    <w:rsid w:val="0039691C"/>
    <w:rsid w:val="00412913"/>
    <w:rsid w:val="005A7AB1"/>
    <w:rsid w:val="006127A3"/>
    <w:rsid w:val="00836A25"/>
    <w:rsid w:val="00844985"/>
    <w:rsid w:val="008B776A"/>
    <w:rsid w:val="00C72656"/>
    <w:rsid w:val="00C85960"/>
    <w:rsid w:val="00CB20FB"/>
    <w:rsid w:val="00E77CDC"/>
    <w:rsid w:val="00ED1DC1"/>
    <w:rsid w:val="01E04321"/>
    <w:rsid w:val="1A154272"/>
    <w:rsid w:val="1BD07625"/>
    <w:rsid w:val="48CD19C5"/>
    <w:rsid w:val="4A855E57"/>
    <w:rsid w:val="6360384A"/>
    <w:rsid w:val="6BB35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table" w:styleId="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85</Words>
  <Characters>488</Characters>
  <Lines>4</Lines>
  <Paragraphs>1</Paragraphs>
  <TotalTime>0</TotalTime>
  <ScaleCrop>false</ScaleCrop>
  <LinksUpToDate>false</LinksUpToDate>
  <CharactersWithSpaces>572</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2021-06-08T03:16:00Z</dcterms:created>
  <dc:creator>√</dc:creator>
  <cp:lastModifiedBy>XGBZL</cp:lastModifiedBy>
  <cp:lastPrinted>2021-06-29T02:53:18Z</cp:lastPrinted>
  <dcterms:modified xsi:type="dcterms:W3CDTF">2021-06-29T02:53:47Z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D12D76343471401198C109ECCAD92459</vt:lpwstr>
  </property>
</Properties>
</file>