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BAAB7">
      <w:pPr>
        <w:widowControl w:val="0"/>
        <w:spacing w:line="560" w:lineRule="exact"/>
        <w:jc w:val="both"/>
        <w:rPr>
          <w:rFonts w:hint="default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auto"/>
          <w:spacing w:val="0"/>
          <w:kern w:val="0"/>
          <w:sz w:val="32"/>
          <w:szCs w:val="32"/>
          <w:vertAlign w:val="baseline"/>
          <w:lang w:val="en-US" w:eastAsia="zh-CN" w:bidi="ar"/>
        </w:rPr>
        <w:t>附件</w:t>
      </w:r>
    </w:p>
    <w:p w14:paraId="3F1BA70D">
      <w:pPr>
        <w:widowControl w:val="0"/>
        <w:spacing w:line="560" w:lineRule="exact"/>
        <w:jc w:val="center"/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-SA"/>
        </w:rPr>
        <w:t>拟推荐对象</w:t>
      </w:r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-SA"/>
        </w:rPr>
        <w:t>基本情况及</w:t>
      </w:r>
      <w:bookmarkStart w:id="0" w:name="_GoBack"/>
      <w:bookmarkEnd w:id="0"/>
      <w:r>
        <w:rPr>
          <w:rFonts w:hint="default" w:ascii="Times New Roman" w:hAnsi="Times New Roman" w:eastAsia="方正小标宋_GBK" w:cs="Times New Roman"/>
          <w:color w:val="000000"/>
          <w:kern w:val="0"/>
          <w:sz w:val="44"/>
          <w:szCs w:val="44"/>
          <w:lang w:val="en-US" w:eastAsia="zh-CN" w:bidi="ar-SA"/>
        </w:rPr>
        <w:t>主要事迹</w:t>
      </w:r>
    </w:p>
    <w:p w14:paraId="61ADD707">
      <w:pPr>
        <w:rPr>
          <w:rFonts w:hint="default" w:ascii="Calibri" w:hAnsi="Calibri" w:eastAsia="宋体" w:cs="宋体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5"/>
        <w:gridCol w:w="2189"/>
        <w:gridCol w:w="1741"/>
        <w:gridCol w:w="996"/>
        <w:gridCol w:w="2269"/>
      </w:tblGrid>
      <w:tr w14:paraId="15425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865" w:type="dxa"/>
            <w:vAlign w:val="center"/>
          </w:tcPr>
          <w:p w14:paraId="50ADDE76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195" w:type="dxa"/>
            <w:gridSpan w:val="4"/>
            <w:vAlign w:val="center"/>
          </w:tcPr>
          <w:p w14:paraId="22605374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广西师范大学法学院</w:t>
            </w:r>
          </w:p>
        </w:tc>
      </w:tr>
      <w:tr w14:paraId="7EE0F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65" w:type="dxa"/>
            <w:vAlign w:val="center"/>
          </w:tcPr>
          <w:p w14:paraId="5D328135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单位级别</w:t>
            </w:r>
          </w:p>
        </w:tc>
        <w:tc>
          <w:tcPr>
            <w:tcW w:w="3930" w:type="dxa"/>
            <w:gridSpan w:val="2"/>
            <w:vAlign w:val="center"/>
          </w:tcPr>
          <w:p w14:paraId="1162F833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正处级</w:t>
            </w:r>
          </w:p>
        </w:tc>
        <w:tc>
          <w:tcPr>
            <w:tcW w:w="996" w:type="dxa"/>
            <w:vAlign w:val="center"/>
          </w:tcPr>
          <w:p w14:paraId="46CFEE8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人数</w:t>
            </w:r>
          </w:p>
        </w:tc>
        <w:tc>
          <w:tcPr>
            <w:tcW w:w="2269" w:type="dxa"/>
            <w:vAlign w:val="center"/>
          </w:tcPr>
          <w:p w14:paraId="0A09F44D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73</w:t>
            </w:r>
          </w:p>
        </w:tc>
      </w:tr>
      <w:tr w14:paraId="0A4B8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865" w:type="dxa"/>
            <w:vMerge w:val="restart"/>
            <w:vAlign w:val="center"/>
          </w:tcPr>
          <w:p w14:paraId="6C5898BE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单位负责人</w:t>
            </w:r>
          </w:p>
        </w:tc>
        <w:tc>
          <w:tcPr>
            <w:tcW w:w="2189" w:type="dxa"/>
            <w:vAlign w:val="center"/>
          </w:tcPr>
          <w:p w14:paraId="1799F5E2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姓名</w:t>
            </w:r>
          </w:p>
        </w:tc>
        <w:tc>
          <w:tcPr>
            <w:tcW w:w="5006" w:type="dxa"/>
            <w:gridSpan w:val="3"/>
            <w:vAlign w:val="center"/>
          </w:tcPr>
          <w:p w14:paraId="423FCA71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8"/>
                <w:szCs w:val="28"/>
                <w:lang w:eastAsia="zh-CN"/>
              </w:rPr>
              <w:t>职务</w:t>
            </w:r>
          </w:p>
        </w:tc>
      </w:tr>
      <w:tr w14:paraId="15EE0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  <w:jc w:val="center"/>
        </w:trPr>
        <w:tc>
          <w:tcPr>
            <w:tcW w:w="1865" w:type="dxa"/>
            <w:vMerge w:val="continue"/>
          </w:tcPr>
          <w:p w14:paraId="32794168">
            <w:pPr>
              <w:spacing w:line="560" w:lineRule="exact"/>
              <w:rPr>
                <w:rFonts w:ascii="Times New Roman" w:hAnsi="Times New Roman" w:eastAsia="仿宋" w:cs="Times New Roman"/>
                <w:sz w:val="32"/>
                <w:szCs w:val="22"/>
              </w:rPr>
            </w:pPr>
          </w:p>
        </w:tc>
        <w:tc>
          <w:tcPr>
            <w:tcW w:w="2189" w:type="dxa"/>
            <w:vAlign w:val="center"/>
          </w:tcPr>
          <w:p w14:paraId="2A808DE9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郭剑平</w:t>
            </w:r>
          </w:p>
        </w:tc>
        <w:tc>
          <w:tcPr>
            <w:tcW w:w="5006" w:type="dxa"/>
            <w:gridSpan w:val="3"/>
            <w:vAlign w:val="center"/>
          </w:tcPr>
          <w:p w14:paraId="1A10355F">
            <w:pPr>
              <w:spacing w:line="560" w:lineRule="exact"/>
              <w:jc w:val="center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学院党委副书记、院长</w:t>
            </w:r>
          </w:p>
        </w:tc>
      </w:tr>
      <w:tr w14:paraId="7162D1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0" w:hRule="atLeast"/>
          <w:jc w:val="center"/>
        </w:trPr>
        <w:tc>
          <w:tcPr>
            <w:tcW w:w="1865" w:type="dxa"/>
            <w:vAlign w:val="center"/>
          </w:tcPr>
          <w:p w14:paraId="49ADE6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8"/>
                <w:szCs w:val="28"/>
                <w:lang w:eastAsia="zh-CN"/>
              </w:rPr>
              <w:t>近五年获表彰奖励情况</w:t>
            </w:r>
          </w:p>
        </w:tc>
        <w:tc>
          <w:tcPr>
            <w:tcW w:w="7195" w:type="dxa"/>
            <w:gridSpan w:val="4"/>
          </w:tcPr>
          <w:p w14:paraId="21DF87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1.2021年12月，获评广西高等教育自治区级教学成果一等奖（授予单位：广西壮族自治区人民政府）；</w:t>
            </w:r>
          </w:p>
          <w:p w14:paraId="2FF566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2.2022年12月，获评广西第十七次社会科学优秀成果二等奖2项、三等奖3项（授予单位：广西壮族自治区人民政府）；</w:t>
            </w:r>
          </w:p>
          <w:p w14:paraId="28F652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3.2023年12月，获评桂林市学雷锋志愿服务先进典型“最佳志愿服务组织”（授予单位：桂林市精神文明建设委员会办公室）；</w:t>
            </w:r>
          </w:p>
          <w:p w14:paraId="14A95A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4.2024年1月，获评广西高等教育（研究生）自治区级教学成果一等奖（授予单位：广西壮族自治区人民政府）；</w:t>
            </w:r>
          </w:p>
          <w:p w14:paraId="6B9121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5.2024年7月，普法分队“小天平”团队入选全国大学生暑期文化科技卫生“三下乡”社会实践活动之“法治中国青春行”专项活动团队（授予单位：中央宣传部、教育部、共青团中央、全国学联）；</w:t>
            </w:r>
          </w:p>
          <w:p w14:paraId="0AE977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6.2024年11月，获评全国“八五”普法中期表现突出单位（授予单位：司法部、全国普法办）；</w:t>
            </w:r>
          </w:p>
          <w:p w14:paraId="48F5816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7.2025年7月，入选第三批广西新时代文明实践典型案例（授予单位：广西壮族自治区党委宣传部）；</w:t>
            </w:r>
          </w:p>
          <w:p w14:paraId="137DAB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8.2025年11月，获评广西第十八次社会科学优秀成果一等奖1项、二等奖1项、三等奖5项（授予单位：自治区人民政府）；</w:t>
            </w:r>
          </w:p>
          <w:p w14:paraId="0DD772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9.2025年12月，《法理学》《大学生创新创业法律实务》入选国家级一流本科课程（授予单位：教育部）；</w:t>
            </w:r>
          </w:p>
          <w:p w14:paraId="58AD9D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10.2025年12月，漓江流域生态破坏民事公益诉讼案等4篇案例入选中国专业学位案例中心案例库（授予单位：</w:t>
            </w:r>
            <w:r>
              <w:rPr>
                <w:rFonts w:hint="eastAsia" w:ascii="宋体" w:hAnsi="宋体" w:eastAsia="仿宋" w:cs="宋体"/>
                <w:color w:val="000000"/>
                <w:kern w:val="0"/>
                <w:sz w:val="24"/>
                <w:szCs w:val="24"/>
              </w:rPr>
              <w:t>教育部学位与研究生教育发展中心、全国法律专业学位研究生教育指导委员会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）。</w:t>
            </w:r>
          </w:p>
        </w:tc>
      </w:tr>
      <w:tr w14:paraId="6CD73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7" w:hRule="atLeast"/>
          <w:jc w:val="center"/>
        </w:trPr>
        <w:tc>
          <w:tcPr>
            <w:tcW w:w="1865" w:type="dxa"/>
            <w:vAlign w:val="center"/>
          </w:tcPr>
          <w:p w14:paraId="61587D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主</w:t>
            </w:r>
          </w:p>
          <w:p w14:paraId="634053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要</w:t>
            </w:r>
          </w:p>
          <w:p w14:paraId="617064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事</w:t>
            </w:r>
          </w:p>
          <w:p w14:paraId="0E7FD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  <w:t>迹</w:t>
            </w:r>
          </w:p>
          <w:p w14:paraId="6E81CF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7195" w:type="dxa"/>
            <w:gridSpan w:val="4"/>
          </w:tcPr>
          <w:p w14:paraId="701C3D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深耕八桂沃土 赋能边疆民族法治</w:t>
            </w:r>
          </w:p>
          <w:p w14:paraId="68935F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广西师范大学法学院深耕广西法学教育二十余载，始终以习近平法治思想为指引，聚焦法治人才培养、法学理论研究、地方法律服务、全域普法宣传、涉外法治交流五大领域，充分发挥区域法治“人才库”与地方治理“智囊团”双重作用，多年来持续深耕法治广西建设，积淀丰硕成果，近年来再添多项国家级、自治区级重磅荣誉，法治建设综合成效突出。</w:t>
            </w:r>
          </w:p>
          <w:p w14:paraId="4B1AE6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2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eastAsia="zh-CN"/>
              </w:rPr>
              <w:t>一、建强特色法学学科，培育边疆法治英才</w:t>
            </w:r>
          </w:p>
          <w:p w14:paraId="765E22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法学专业先后获评国家级特色专业、国家一流本科专业，法学理论获批广西重点学科，民族法学入选广西民族特色学科，形成“基础扎实、特色鲜明”的发展态势，学科持续跻身“软科中国最好学科”排行榜。师资梯队全区领先，现有专任教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61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人，博士占比超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成，汇聚国家级人才，广西特聘教授、教学名师、杰出中青年法学家等高层次人才，持续优化“双师型”师资队伍。学院构建“中国特色+民族特色”课程体系，开设“民族法学”等特色课程，打造多层次实践课程群，打通理论到实践的“最后一公里”。创新国内与涉外法治人才双轨培养模式，组建涉外法治“独秀试验班”，广泛采用案例教学、模拟法庭等创新方法。毕业生扎根八桂基层，被评价为“下得去、留得住、用得上”，走出大批优秀法官、检察官、行业骨干。</w:t>
            </w:r>
          </w:p>
          <w:p w14:paraId="481FC8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2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eastAsia="zh-CN"/>
              </w:rPr>
              <w:t>二、智库赋能深耕科研，产出高质量法治研究成果</w:t>
            </w:r>
          </w:p>
          <w:p w14:paraId="5CBA3D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学院建有广西地方法治与地方治理研究中心、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广西涉外法律服务研究院、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广西地方立法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研究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评估与咨询服务基地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等重要科研和社会服务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平台。广西地方法治与地方治理研究中心成功入选CTTI来源智库（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2024年）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、AMI智库（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2025年）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两项国家级智库，实现国字号智库平台双重认定。近五年来，学院教师累计主持国家级课题17项、省部级课题26项、横向课题66项，科研经费规模稳步提升；累计在核心期刊刊发论文74篇，出版学术专著、教材19部，斩获省部级科研奖励15项，提供国家和地方法律法规立法咨询报告172份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这些成果为法治建设提供重要理论支撑和实践参考。坚持“引进来、走出去”，近五年来承办国际国内学术会议30余场，举办“独秀法学大讲堂”等学术讲座100余场，资助师生赴境外交流，定期举办研究生学术论坛，营造了开放包容、求真务实的学术氛围。</w:t>
            </w:r>
          </w:p>
          <w:p w14:paraId="59998D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2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三、立足区域精准赋能，提供全方位公共法律服务</w:t>
            </w:r>
          </w:p>
          <w:p w14:paraId="29E086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学院秉持“立足广西、服务地方、辐射全国、面向东盟”理念，充分发挥学科与人才优势，彰显法治担当。在立法咨询方面，深度参与多部地方性法规、政府规章的起草、论证与评估，成为地方立法重要“智囊团”。面向全区政法干警、律师、知识产权从业者开展常态化业务培训，近年来开办培训150班次，覆盖学员近万人。学院教师主动投身地方决策咨询，兼职律师近30名，多名教师受聘自治区、市县级政府法律顾问、案件评查专家、人民监督员，深度参与重大行政决策合法性审查。</w:t>
            </w:r>
          </w:p>
          <w:p w14:paraId="6C0F99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2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四、全域普法扎根基层，打造特色法治宣传品牌</w:t>
            </w:r>
          </w:p>
          <w:p w14:paraId="053B93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持续做实宪法宣传教育，每年开展“12・4”宪法系列活动。在专业赛事培育方面成果丰硕，2024年全国法律专业学位研究生法律文书写作大赛中，学院获评大赛“最佳组织奖”，法律（法学）研究生陈铭江斩获全国二等奖；近两年，我院学子连续拿下全区“学宪法、讲宪法”竞赛一等奖，两度晋级全国总决赛并荣获全国二等奖，学院教师获全国赛指导老师一等奖、二等奖。在2026年“八桂法声”系列赛事里，参赛学子包揽辩论赛一等奖、法律文书写作多项一二三等奖、演讲赛事二三等奖，各类专业竞赛捷报频传，充分展现法科学子过硬专业功底与综合表达能力。在法律服务方面，“法律援助中心”“雏雁护航队”“小天平”等团队开展普法活动200余场，提供法律咨询1.2万余人次，受众超10万人次，荣获全国“八五”普法中期表现突出单位，“雏雁护航队”获最高检通报表扬，学院“‘法’润八桂”项目入选广西新时代文明实践典型案例。</w:t>
            </w:r>
          </w:p>
          <w:p w14:paraId="1EA274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2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4"/>
                <w:szCs w:val="24"/>
                <w:lang w:val="en-US" w:eastAsia="zh-CN"/>
              </w:rPr>
              <w:t>五、面向东盟开放交流，服务“一带一路”法治建设</w:t>
            </w:r>
          </w:p>
          <w:p w14:paraId="62B5ED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学院作为广西多家法学专业研究会会长单位，搭建理论与实务交流平台，多年累计主办国际、全国、全区性学术会议30场，累计参会3500余人。立足广西面向东盟区位优势，授予老挝最高人民检察院检察长赛萨纳·阔普同名誉博士学位，共建中老社会主义法治研究中心，与老挝、越南等国高校建立联合人才培养机制，长期招收东盟留学生。师生积极参与国际青年法治交流，优秀研究生代表赴多国国际论坛宣讲中国法治实践，持续输出八桂法治经验，助力中国—东盟命运共同体与“一带一路”法治合作建设。</w:t>
            </w:r>
          </w:p>
          <w:p w14:paraId="79829D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二十余年来，</w:t>
            </w:r>
            <w:r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广西师范大学法</w:t>
            </w:r>
            <w:r>
              <w:rPr>
                <w:rFonts w:hint="default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  <w:t>学院一以贯之坚守法治育人、服务地方使命，前后斩获全国、自治区、市、校级多层次法治、党建、志愿服务类荣誉，持续为法治广西、法治中国建设输送人才、贡献智慧，充分展现高校法学院服务区域法治建设的责任与担当。</w:t>
            </w:r>
          </w:p>
          <w:p w14:paraId="2BB45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80" w:firstLineChars="200"/>
              <w:jc w:val="left"/>
              <w:textAlignment w:val="auto"/>
              <w:rPr>
                <w:rFonts w:hint="eastAsia" w:ascii="Times New Roman" w:hAnsi="Times New Roman" w:eastAsia="仿宋" w:cs="Times New Roman"/>
                <w:color w:val="000000"/>
                <w:sz w:val="24"/>
                <w:szCs w:val="24"/>
                <w:lang w:val="en-US" w:eastAsia="zh-CN"/>
              </w:rPr>
            </w:pPr>
          </w:p>
          <w:p w14:paraId="026836B6">
            <w:pPr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 w14:paraId="0A25D372">
            <w:pPr>
              <w:spacing w:line="560" w:lineRule="exact"/>
              <w:jc w:val="left"/>
              <w:rPr>
                <w:rFonts w:hint="default" w:ascii="Times New Roman" w:hAnsi="Times New Roman" w:eastAsia="方正仿宋_GBK" w:cs="Times New Roman"/>
                <w:color w:val="000000"/>
                <w:sz w:val="28"/>
                <w:szCs w:val="28"/>
              </w:rPr>
            </w:pPr>
          </w:p>
          <w:p w14:paraId="65D7E164">
            <w:pPr>
              <w:spacing w:line="560" w:lineRule="exact"/>
              <w:jc w:val="left"/>
              <w:rPr>
                <w:rFonts w:hint="default" w:ascii="Times New Roman" w:hAnsi="Times New Roman" w:eastAsia="宋体" w:cs="Times New Roman"/>
                <w:color w:val="000000"/>
                <w:sz w:val="32"/>
                <w:szCs w:val="22"/>
              </w:rPr>
            </w:pPr>
          </w:p>
        </w:tc>
      </w:tr>
    </w:tbl>
    <w:p w14:paraId="1E9D06FB">
      <w:pP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</w:p>
    <w:p w14:paraId="3F1224A5">
      <w:pP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</w:p>
    <w:sectPr>
      <w:pgSz w:w="11906" w:h="16838"/>
      <w:pgMar w:top="1701" w:right="1361" w:bottom="1701" w:left="136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7646A"/>
    <w:rsid w:val="010C5220"/>
    <w:rsid w:val="0995308A"/>
    <w:rsid w:val="09F315AC"/>
    <w:rsid w:val="120E7DDC"/>
    <w:rsid w:val="1EA10D5B"/>
    <w:rsid w:val="204A7214"/>
    <w:rsid w:val="21942142"/>
    <w:rsid w:val="22185CCB"/>
    <w:rsid w:val="2AFE685E"/>
    <w:rsid w:val="2C723060"/>
    <w:rsid w:val="3C1B5DE4"/>
    <w:rsid w:val="3FFF50B3"/>
    <w:rsid w:val="42E23AB3"/>
    <w:rsid w:val="471825FE"/>
    <w:rsid w:val="4E111B3F"/>
    <w:rsid w:val="4E6C45BF"/>
    <w:rsid w:val="519D1C3B"/>
    <w:rsid w:val="55114DF1"/>
    <w:rsid w:val="582651B2"/>
    <w:rsid w:val="5ED54992"/>
    <w:rsid w:val="62632E49"/>
    <w:rsid w:val="773E6FD5"/>
    <w:rsid w:val="79825532"/>
    <w:rsid w:val="7B2229CE"/>
    <w:rsid w:val="7C0411F4"/>
    <w:rsid w:val="7D663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next w:val="1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8"/>
      <w:szCs w:val="28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2908</Words>
  <Characters>3065</Characters>
  <Lines>0</Lines>
  <Paragraphs>0</Paragraphs>
  <TotalTime>3</TotalTime>
  <ScaleCrop>false</ScaleCrop>
  <LinksUpToDate>false</LinksUpToDate>
  <CharactersWithSpaces>3105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GXSD</dc:creator>
  <cp:lastModifiedBy>文德科</cp:lastModifiedBy>
  <dcterms:modified xsi:type="dcterms:W3CDTF">2026-07-16T08:48:52Z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eyJoZGlkIjoiMzEwNTM5NzYwMDRjMzkwZTVkZjY2ODkwMGIxNGU0OTUiLCJ1c2VySWQiOiIxNTY2Mzg2NDc4In0=</vt:lpwstr>
  </property>
  <property fmtid="{D5CDD505-2E9C-101B-9397-08002B2CF9AE}" pid="4" name="ICV">
    <vt:lpwstr>29A1EF3B1C2442B1B207BDEFAD3AE047_12</vt:lpwstr>
  </property>
</Properties>
</file>