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广西师范大学</w:t>
      </w:r>
      <w:r>
        <w:rPr>
          <w:rFonts w:hint="eastAsia" w:ascii="黑体" w:hAnsi="黑体" w:eastAsia="黑体" w:cs="黑体"/>
          <w:sz w:val="32"/>
          <w:szCs w:val="40"/>
        </w:rPr>
        <w:t>“三全育人”综合改革试点学院（部）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建设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单位</w:t>
      </w:r>
    </w:p>
    <w:p>
      <w:pPr>
        <w:rPr>
          <w:rFonts w:hint="eastAsia"/>
        </w:rPr>
      </w:pPr>
    </w:p>
    <w:tbl>
      <w:tblPr>
        <w:tblStyle w:val="2"/>
        <w:tblW w:w="83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85"/>
        <w:gridCol w:w="1418"/>
        <w:gridCol w:w="3755"/>
        <w:gridCol w:w="1051"/>
        <w:gridCol w:w="1357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80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资助金额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文学院/新闻与传播学院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弘文励教，止于至善——打造新时代中国特色社会主义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的“三全育人”摇篮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刘立浩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4万元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“一心两环三轴四平台”协同育人实践创新综合改革试点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4万元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化学与药学学院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贯彻“三全育人”理念，构建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西部民族地区高素质化学人才培养一体化体系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农智杰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4万元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聚焦“三全育人”，打造 “线上+线下”全环境一体化综合育人平台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钢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4万元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音乐学院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“仁爱精艺”打造“实践育人”共同体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周海琦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4万元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34" w:hRule="atLeast"/>
          <w:jc w:val="center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职业技术师范学院</w:t>
            </w:r>
          </w:p>
        </w:tc>
        <w:tc>
          <w:tcPr>
            <w:tcW w:w="3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“三全育人”背景下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职教师资学生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自我管理模式实践探析</w:t>
            </w:r>
          </w:p>
        </w:tc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韦永志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4万元</w:t>
            </w:r>
          </w:p>
        </w:tc>
      </w:tr>
    </w:tbl>
    <w:p>
      <w:pPr>
        <w:rPr>
          <w:rFonts w:hint="eastAsia" w:ascii="仿宋" w:hAnsi="仿宋" w:eastAsia="仿宋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42F2D"/>
    <w:rsid w:val="61547282"/>
    <w:rsid w:val="65D42F2D"/>
    <w:rsid w:val="69AA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2019-06-27T15:19:00Z</dcterms:created>
  <dc:creator>√</dc:creator>
  <cp:lastModifiedBy>√</cp:lastModifiedBy>
  <cp:lastPrinted>2019-06-27T15:29:20Z</cp:lastPrinted>
  <dcterms:modified xsi:type="dcterms:W3CDTF">2019-06-27T17:08:14Z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